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5240" w14:textId="1E00F8E8" w:rsidR="003C161B" w:rsidRDefault="00000000">
      <w:pPr>
        <w:spacing w:line="360" w:lineRule="auto"/>
        <w:jc w:val="center"/>
        <w:rPr>
          <w:rFonts w:eastAsiaTheme="majorEastAsia"/>
          <w:b/>
          <w:sz w:val="24"/>
        </w:rPr>
      </w:pPr>
      <w:bookmarkStart w:id="0" w:name="OLE_LINK16"/>
      <w:bookmarkStart w:id="1" w:name="OLE_LINK17"/>
      <w:bookmarkStart w:id="2" w:name="OLE_LINK15"/>
      <w:r>
        <w:rPr>
          <w:rFonts w:eastAsiaTheme="majorEastAsia" w:hint="eastAsia"/>
          <w:sz w:val="24"/>
        </w:rPr>
        <w:t>证券代码：</w:t>
      </w:r>
      <w:r>
        <w:rPr>
          <w:rFonts w:eastAsiaTheme="majorEastAsia" w:hint="eastAsia"/>
          <w:sz w:val="24"/>
        </w:rPr>
        <w:t xml:space="preserve">300873         </w:t>
      </w:r>
      <w:r>
        <w:rPr>
          <w:rFonts w:eastAsiaTheme="majorEastAsia" w:hint="eastAsia"/>
          <w:sz w:val="24"/>
        </w:rPr>
        <w:t>证券简称：</w:t>
      </w:r>
      <w:proofErr w:type="gramStart"/>
      <w:r>
        <w:rPr>
          <w:rFonts w:eastAsiaTheme="majorEastAsia" w:hint="eastAsia"/>
          <w:sz w:val="24"/>
        </w:rPr>
        <w:t>海晨股份</w:t>
      </w:r>
      <w:proofErr w:type="gramEnd"/>
      <w:r>
        <w:rPr>
          <w:rFonts w:eastAsiaTheme="majorEastAsia" w:hint="eastAsia"/>
          <w:sz w:val="24"/>
        </w:rPr>
        <w:t xml:space="preserve">         </w:t>
      </w:r>
      <w:r>
        <w:rPr>
          <w:rFonts w:eastAsiaTheme="majorEastAsia" w:hint="eastAsia"/>
          <w:sz w:val="24"/>
        </w:rPr>
        <w:t>公告编号：</w:t>
      </w:r>
      <w:r>
        <w:rPr>
          <w:rFonts w:eastAsiaTheme="majorEastAsia" w:hint="eastAsia"/>
          <w:sz w:val="24"/>
        </w:rPr>
        <w:t>202</w:t>
      </w:r>
      <w:r w:rsidR="00EA650B">
        <w:rPr>
          <w:rFonts w:eastAsiaTheme="majorEastAsia"/>
          <w:sz w:val="24"/>
        </w:rPr>
        <w:t>4</w:t>
      </w:r>
      <w:r>
        <w:rPr>
          <w:rFonts w:eastAsiaTheme="majorEastAsia" w:hint="eastAsia"/>
          <w:sz w:val="24"/>
        </w:rPr>
        <w:t>-</w:t>
      </w:r>
      <w:r w:rsidR="00AA0BC3">
        <w:rPr>
          <w:rFonts w:eastAsiaTheme="majorEastAsia"/>
          <w:sz w:val="24"/>
        </w:rPr>
        <w:t>025</w:t>
      </w:r>
      <w:r w:rsidR="00EA650B">
        <w:rPr>
          <w:rFonts w:eastAsiaTheme="majorEastAsia"/>
          <w:sz w:val="24"/>
        </w:rPr>
        <w:t xml:space="preserve"> </w:t>
      </w:r>
      <w:r>
        <w:rPr>
          <w:rFonts w:eastAsiaTheme="majorEastAsia" w:hint="eastAsia"/>
          <w:sz w:val="24"/>
        </w:rPr>
        <w:t xml:space="preserve"> </w:t>
      </w:r>
    </w:p>
    <w:p w14:paraId="0CC75C70" w14:textId="77777777" w:rsidR="003C161B" w:rsidRDefault="00000000">
      <w:pPr>
        <w:spacing w:line="360" w:lineRule="auto"/>
        <w:jc w:val="center"/>
        <w:rPr>
          <w:rFonts w:ascii="宋体" w:hAnsi="宋体"/>
          <w:b/>
          <w:sz w:val="32"/>
          <w:szCs w:val="32"/>
        </w:rPr>
      </w:pPr>
      <w:r>
        <w:rPr>
          <w:rFonts w:ascii="宋体" w:hAnsi="宋体" w:hint="eastAsia"/>
          <w:b/>
          <w:sz w:val="32"/>
          <w:szCs w:val="32"/>
        </w:rPr>
        <w:t>江苏海晨物流股份有限公司</w:t>
      </w:r>
    </w:p>
    <w:p w14:paraId="5731D97A" w14:textId="77777777" w:rsidR="003C161B" w:rsidRDefault="00000000">
      <w:pPr>
        <w:spacing w:line="360" w:lineRule="auto"/>
        <w:jc w:val="center"/>
        <w:rPr>
          <w:rFonts w:ascii="宋体" w:hAnsi="宋体"/>
          <w:b/>
          <w:sz w:val="32"/>
          <w:szCs w:val="32"/>
        </w:rPr>
      </w:pPr>
      <w:r>
        <w:rPr>
          <w:rFonts w:ascii="宋体" w:hAnsi="宋体" w:hint="eastAsia"/>
          <w:b/>
          <w:sz w:val="32"/>
          <w:szCs w:val="32"/>
        </w:rPr>
        <w:t>关于调整部分</w:t>
      </w:r>
      <w:proofErr w:type="gramStart"/>
      <w:r>
        <w:rPr>
          <w:rFonts w:ascii="宋体" w:hAnsi="宋体" w:hint="eastAsia"/>
          <w:b/>
          <w:sz w:val="32"/>
          <w:szCs w:val="32"/>
        </w:rPr>
        <w:t>募投项目</w:t>
      </w:r>
      <w:proofErr w:type="gramEnd"/>
      <w:r>
        <w:rPr>
          <w:rFonts w:ascii="宋体" w:hAnsi="宋体" w:hint="eastAsia"/>
          <w:b/>
          <w:sz w:val="32"/>
          <w:szCs w:val="32"/>
        </w:rPr>
        <w:t>实施进度的公告</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3C161B" w14:paraId="3FD7C548" w14:textId="77777777">
        <w:tc>
          <w:tcPr>
            <w:tcW w:w="8522" w:type="dxa"/>
            <w:tcBorders>
              <w:top w:val="single" w:sz="4" w:space="0" w:color="auto"/>
              <w:left w:val="single" w:sz="4" w:space="0" w:color="auto"/>
              <w:bottom w:val="single" w:sz="4" w:space="0" w:color="auto"/>
              <w:right w:val="single" w:sz="4" w:space="0" w:color="auto"/>
            </w:tcBorders>
          </w:tcPr>
          <w:p w14:paraId="2E70FE47" w14:textId="77777777" w:rsidR="003C161B" w:rsidRDefault="00000000">
            <w:pPr>
              <w:spacing w:line="360" w:lineRule="auto"/>
              <w:ind w:firstLineChars="196" w:firstLine="451"/>
              <w:rPr>
                <w:b/>
                <w:sz w:val="24"/>
              </w:rPr>
            </w:pPr>
            <w:r>
              <w:rPr>
                <w:rFonts w:ascii="宋体" w:hAnsi="宋体" w:cs="宋体" w:hint="eastAsia"/>
                <w:spacing w:val="-5"/>
                <w:sz w:val="24"/>
              </w:rPr>
              <w:t>本公司及董事会全体成员保证信息披露的内容真实、准确、完整，没有虚假记载、误导性陈述或重大遗漏。</w:t>
            </w:r>
          </w:p>
        </w:tc>
      </w:tr>
    </w:tbl>
    <w:bookmarkEnd w:id="0"/>
    <w:bookmarkEnd w:id="1"/>
    <w:bookmarkEnd w:id="2"/>
    <w:p w14:paraId="53B82CAD" w14:textId="0BA22A6C" w:rsidR="003C161B" w:rsidRDefault="00000000">
      <w:pPr>
        <w:spacing w:beforeLines="50" w:before="156" w:afterLines="50" w:after="156" w:line="360" w:lineRule="auto"/>
        <w:ind w:firstLineChars="200" w:firstLine="480"/>
        <w:rPr>
          <w:sz w:val="24"/>
        </w:rPr>
      </w:pPr>
      <w:r>
        <w:rPr>
          <w:rFonts w:hint="eastAsia"/>
          <w:sz w:val="24"/>
        </w:rPr>
        <w:t>江苏海晨物流股份有限公司（以下简称“海晨股份”、“公司”）于</w:t>
      </w:r>
      <w:r>
        <w:rPr>
          <w:rFonts w:hint="eastAsia"/>
          <w:sz w:val="24"/>
        </w:rPr>
        <w:t>2</w:t>
      </w:r>
      <w:r>
        <w:rPr>
          <w:sz w:val="24"/>
        </w:rPr>
        <w:t>02</w:t>
      </w:r>
      <w:r w:rsidR="00EA650B">
        <w:rPr>
          <w:sz w:val="24"/>
        </w:rPr>
        <w:t>4</w:t>
      </w:r>
      <w:r>
        <w:rPr>
          <w:rFonts w:hint="eastAsia"/>
          <w:sz w:val="24"/>
        </w:rPr>
        <w:t>年</w:t>
      </w:r>
      <w:r w:rsidR="00EA650B">
        <w:rPr>
          <w:sz w:val="24"/>
        </w:rPr>
        <w:t>4</w:t>
      </w:r>
      <w:r>
        <w:rPr>
          <w:rFonts w:hint="eastAsia"/>
          <w:sz w:val="24"/>
        </w:rPr>
        <w:t>月</w:t>
      </w:r>
      <w:r w:rsidR="00EA650B">
        <w:rPr>
          <w:sz w:val="24"/>
        </w:rPr>
        <w:t>19</w:t>
      </w:r>
      <w:r>
        <w:rPr>
          <w:rFonts w:hint="eastAsia"/>
          <w:sz w:val="24"/>
        </w:rPr>
        <w:t>日召开了第三届董事会第十</w:t>
      </w:r>
      <w:r w:rsidR="00EA650B">
        <w:rPr>
          <w:rFonts w:hint="eastAsia"/>
          <w:sz w:val="24"/>
        </w:rPr>
        <w:t>五</w:t>
      </w:r>
      <w:r>
        <w:rPr>
          <w:rFonts w:hint="eastAsia"/>
          <w:sz w:val="24"/>
        </w:rPr>
        <w:t>次会议、第三届监事会第十</w:t>
      </w:r>
      <w:r w:rsidR="00EA650B">
        <w:rPr>
          <w:rFonts w:hint="eastAsia"/>
          <w:sz w:val="24"/>
        </w:rPr>
        <w:t>五</w:t>
      </w:r>
      <w:r>
        <w:rPr>
          <w:rFonts w:hint="eastAsia"/>
          <w:sz w:val="24"/>
        </w:rPr>
        <w:t>次会议，审议通过了《关于调整部分募投项目实施进度的议案》，结合</w:t>
      </w:r>
      <w:proofErr w:type="gramStart"/>
      <w:r>
        <w:rPr>
          <w:rFonts w:hint="eastAsia"/>
          <w:sz w:val="24"/>
        </w:rPr>
        <w:t>募投项目</w:t>
      </w:r>
      <w:proofErr w:type="gramEnd"/>
      <w:r>
        <w:rPr>
          <w:rFonts w:hint="eastAsia"/>
          <w:sz w:val="24"/>
        </w:rPr>
        <w:t>的实际进展情况和公司经营规划，对部分</w:t>
      </w:r>
      <w:proofErr w:type="gramStart"/>
      <w:r>
        <w:rPr>
          <w:rFonts w:hint="eastAsia"/>
          <w:sz w:val="24"/>
        </w:rPr>
        <w:t>募投项目</w:t>
      </w:r>
      <w:proofErr w:type="gramEnd"/>
      <w:r>
        <w:rPr>
          <w:rFonts w:hint="eastAsia"/>
          <w:sz w:val="24"/>
        </w:rPr>
        <w:t>实施进度进行调整，具体情况如下：</w:t>
      </w:r>
    </w:p>
    <w:p w14:paraId="5B96DAAA" w14:textId="77777777" w:rsidR="003C161B" w:rsidRDefault="00000000">
      <w:pPr>
        <w:spacing w:beforeLines="50" w:before="156" w:afterLines="50" w:after="156" w:line="360" w:lineRule="auto"/>
        <w:ind w:firstLineChars="200" w:firstLine="482"/>
        <w:outlineLvl w:val="0"/>
        <w:rPr>
          <w:b/>
          <w:bCs/>
          <w:sz w:val="24"/>
        </w:rPr>
      </w:pPr>
      <w:r>
        <w:rPr>
          <w:rFonts w:hint="eastAsia"/>
          <w:b/>
          <w:bCs/>
          <w:sz w:val="24"/>
        </w:rPr>
        <w:t>一、募集资金基本情况</w:t>
      </w:r>
    </w:p>
    <w:p w14:paraId="454F823A" w14:textId="77777777" w:rsidR="003C161B" w:rsidRDefault="00000000">
      <w:pPr>
        <w:spacing w:line="360" w:lineRule="auto"/>
        <w:ind w:firstLineChars="200" w:firstLine="480"/>
        <w:rPr>
          <w:sz w:val="24"/>
        </w:rPr>
      </w:pPr>
      <w:r>
        <w:rPr>
          <w:rFonts w:hint="eastAsia"/>
          <w:sz w:val="24"/>
        </w:rPr>
        <w:t>根据中国证券监督管理委员会于</w:t>
      </w:r>
      <w:r>
        <w:rPr>
          <w:rFonts w:hint="eastAsia"/>
          <w:sz w:val="24"/>
        </w:rPr>
        <w:t>2020</w:t>
      </w:r>
      <w:r>
        <w:rPr>
          <w:rFonts w:hint="eastAsia"/>
          <w:sz w:val="24"/>
        </w:rPr>
        <w:t>年</w:t>
      </w:r>
      <w:r>
        <w:rPr>
          <w:rFonts w:hint="eastAsia"/>
          <w:sz w:val="24"/>
        </w:rPr>
        <w:t>8</w:t>
      </w:r>
      <w:r>
        <w:rPr>
          <w:rFonts w:hint="eastAsia"/>
          <w:sz w:val="24"/>
        </w:rPr>
        <w:t>月</w:t>
      </w:r>
      <w:r>
        <w:rPr>
          <w:rFonts w:hint="eastAsia"/>
          <w:sz w:val="24"/>
        </w:rPr>
        <w:t>3</w:t>
      </w:r>
      <w:r>
        <w:rPr>
          <w:rFonts w:hint="eastAsia"/>
          <w:sz w:val="24"/>
        </w:rPr>
        <w:t>日印发的“证监许可</w:t>
      </w:r>
      <w:r>
        <w:rPr>
          <w:rFonts w:hint="eastAsia"/>
          <w:sz w:val="24"/>
        </w:rPr>
        <w:t>[2020]1645</w:t>
      </w:r>
      <w:r>
        <w:rPr>
          <w:rFonts w:hint="eastAsia"/>
          <w:sz w:val="24"/>
        </w:rPr>
        <w:t>号</w:t>
      </w:r>
      <w:proofErr w:type="gramStart"/>
      <w:r>
        <w:rPr>
          <w:rFonts w:hint="eastAsia"/>
          <w:sz w:val="24"/>
        </w:rPr>
        <w:t>”</w:t>
      </w:r>
      <w:proofErr w:type="gramEnd"/>
      <w:r>
        <w:rPr>
          <w:rFonts w:hint="eastAsia"/>
          <w:sz w:val="24"/>
        </w:rPr>
        <w:t>文《关于同意江苏海晨物流股份有限公司首次公开发行股票注册的批复》，公司向社会公众公开发行人民币普通股（</w:t>
      </w:r>
      <w:r>
        <w:rPr>
          <w:rFonts w:hint="eastAsia"/>
          <w:sz w:val="24"/>
        </w:rPr>
        <w:t>A</w:t>
      </w:r>
      <w:r>
        <w:rPr>
          <w:rFonts w:hint="eastAsia"/>
          <w:sz w:val="24"/>
        </w:rPr>
        <w:t>股）</w:t>
      </w:r>
      <w:r>
        <w:rPr>
          <w:rFonts w:hint="eastAsia"/>
          <w:sz w:val="24"/>
        </w:rPr>
        <w:t>3</w:t>
      </w:r>
      <w:r>
        <w:rPr>
          <w:sz w:val="24"/>
        </w:rPr>
        <w:t>,</w:t>
      </w:r>
      <w:r>
        <w:rPr>
          <w:rFonts w:hint="eastAsia"/>
          <w:sz w:val="24"/>
        </w:rPr>
        <w:t>333</w:t>
      </w:r>
      <w:r>
        <w:rPr>
          <w:sz w:val="24"/>
        </w:rPr>
        <w:t>.</w:t>
      </w:r>
      <w:r>
        <w:rPr>
          <w:rFonts w:hint="eastAsia"/>
          <w:sz w:val="24"/>
        </w:rPr>
        <w:t>3334</w:t>
      </w:r>
      <w:r>
        <w:rPr>
          <w:rFonts w:hint="eastAsia"/>
          <w:sz w:val="24"/>
        </w:rPr>
        <w:t>万股，发行价格</w:t>
      </w:r>
      <w:r>
        <w:rPr>
          <w:rFonts w:hint="eastAsia"/>
          <w:sz w:val="24"/>
        </w:rPr>
        <w:t>30.72</w:t>
      </w:r>
      <w:r>
        <w:rPr>
          <w:rFonts w:hint="eastAsia"/>
          <w:sz w:val="24"/>
        </w:rPr>
        <w:t>元</w:t>
      </w:r>
      <w:r>
        <w:rPr>
          <w:rFonts w:hint="eastAsia"/>
          <w:sz w:val="24"/>
        </w:rPr>
        <w:t>/</w:t>
      </w:r>
      <w:r>
        <w:rPr>
          <w:rFonts w:hint="eastAsia"/>
          <w:sz w:val="24"/>
        </w:rPr>
        <w:t>股，募集资金总额为</w:t>
      </w:r>
      <w:r>
        <w:rPr>
          <w:rFonts w:hint="eastAsia"/>
          <w:sz w:val="24"/>
        </w:rPr>
        <w:t>102</w:t>
      </w:r>
      <w:r>
        <w:rPr>
          <w:sz w:val="24"/>
        </w:rPr>
        <w:t>,</w:t>
      </w:r>
      <w:r>
        <w:rPr>
          <w:rFonts w:hint="eastAsia"/>
          <w:sz w:val="24"/>
        </w:rPr>
        <w:t>400</w:t>
      </w:r>
      <w:r>
        <w:rPr>
          <w:sz w:val="24"/>
        </w:rPr>
        <w:t>.</w:t>
      </w:r>
      <w:r>
        <w:rPr>
          <w:rFonts w:hint="eastAsia"/>
          <w:sz w:val="24"/>
        </w:rPr>
        <w:t>0</w:t>
      </w:r>
      <w:r>
        <w:rPr>
          <w:sz w:val="24"/>
        </w:rPr>
        <w:t>0</w:t>
      </w:r>
      <w:r>
        <w:rPr>
          <w:rFonts w:hint="eastAsia"/>
          <w:sz w:val="24"/>
        </w:rPr>
        <w:t>万元，扣除发行费用后，公司募集资金净额为</w:t>
      </w:r>
      <w:r>
        <w:rPr>
          <w:rFonts w:hint="eastAsia"/>
          <w:sz w:val="24"/>
        </w:rPr>
        <w:t>92,775</w:t>
      </w:r>
      <w:r>
        <w:rPr>
          <w:sz w:val="24"/>
        </w:rPr>
        <w:t>.</w:t>
      </w:r>
      <w:r>
        <w:rPr>
          <w:rFonts w:hint="eastAsia"/>
          <w:sz w:val="24"/>
        </w:rPr>
        <w:t>3</w:t>
      </w:r>
      <w:r>
        <w:rPr>
          <w:sz w:val="24"/>
        </w:rPr>
        <w:t>1</w:t>
      </w:r>
      <w:r>
        <w:rPr>
          <w:rFonts w:hint="eastAsia"/>
          <w:sz w:val="24"/>
        </w:rPr>
        <w:t>万元。上述资金到位情况业经众华会计师事务所（特殊普通合伙）验证，并出具“众会字（</w:t>
      </w:r>
      <w:r>
        <w:rPr>
          <w:rFonts w:hint="eastAsia"/>
          <w:sz w:val="24"/>
        </w:rPr>
        <w:t>2020</w:t>
      </w:r>
      <w:r>
        <w:rPr>
          <w:rFonts w:hint="eastAsia"/>
          <w:sz w:val="24"/>
        </w:rPr>
        <w:t>）</w:t>
      </w:r>
      <w:r>
        <w:rPr>
          <w:rFonts w:hint="eastAsia"/>
          <w:sz w:val="24"/>
        </w:rPr>
        <w:t>6796</w:t>
      </w:r>
      <w:r>
        <w:rPr>
          <w:rFonts w:hint="eastAsia"/>
          <w:sz w:val="24"/>
        </w:rPr>
        <w:t>号”验资报告。</w:t>
      </w:r>
    </w:p>
    <w:p w14:paraId="1643B614" w14:textId="77777777" w:rsidR="003C161B" w:rsidRDefault="00000000">
      <w:pPr>
        <w:spacing w:line="360" w:lineRule="auto"/>
        <w:ind w:firstLineChars="200" w:firstLine="480"/>
        <w:rPr>
          <w:sz w:val="24"/>
        </w:rPr>
      </w:pPr>
      <w:r>
        <w:rPr>
          <w:rFonts w:hint="eastAsia"/>
          <w:sz w:val="24"/>
        </w:rPr>
        <w:t>公司对募集资金采用了专户存储制度，募集资金全部存放在经董事会批准设立的募集资金专项账户中，公司已与保荐机构、募集资金监管银行签订了《募集资金三方监管协议》、《募集资金专户存储四方监管协议》。</w:t>
      </w:r>
    </w:p>
    <w:p w14:paraId="3EACC9EC" w14:textId="77777777" w:rsidR="003C161B" w:rsidRDefault="00000000">
      <w:pPr>
        <w:spacing w:beforeLines="50" w:before="156" w:afterLines="50" w:after="156" w:line="360" w:lineRule="auto"/>
        <w:ind w:firstLineChars="200" w:firstLine="482"/>
        <w:outlineLvl w:val="0"/>
        <w:rPr>
          <w:b/>
          <w:bCs/>
          <w:sz w:val="24"/>
        </w:rPr>
      </w:pPr>
      <w:r>
        <w:rPr>
          <w:rFonts w:hint="eastAsia"/>
          <w:b/>
          <w:bCs/>
          <w:sz w:val="24"/>
        </w:rPr>
        <w:t>二、募集资金使用情况</w:t>
      </w:r>
    </w:p>
    <w:p w14:paraId="05CB4678" w14:textId="77777777" w:rsidR="003C161B" w:rsidRDefault="00000000">
      <w:pPr>
        <w:spacing w:line="360" w:lineRule="auto"/>
        <w:ind w:firstLineChars="200" w:firstLine="480"/>
        <w:rPr>
          <w:sz w:val="24"/>
        </w:rPr>
      </w:pPr>
      <w:r>
        <w:rPr>
          <w:rFonts w:hint="eastAsia"/>
          <w:sz w:val="24"/>
        </w:rPr>
        <w:t>根据《江苏海晨物流股份有限公司首次公开发行股票并在创业板上市招股说明书》中披露的募集资金投资项目，公司首次公开发行股票募集资金扣除发行费用后，将投资于以下项目：</w:t>
      </w:r>
    </w:p>
    <w:p w14:paraId="625B1400" w14:textId="77777777" w:rsidR="003C161B" w:rsidRDefault="00000000">
      <w:pPr>
        <w:jc w:val="right"/>
        <w:rPr>
          <w:szCs w:val="21"/>
        </w:rPr>
      </w:pPr>
      <w:r>
        <w:rPr>
          <w:rFonts w:hint="eastAsia"/>
          <w:szCs w:val="21"/>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56"/>
        <w:gridCol w:w="2705"/>
        <w:gridCol w:w="1779"/>
        <w:gridCol w:w="1701"/>
        <w:gridCol w:w="1597"/>
      </w:tblGrid>
      <w:tr w:rsidR="003C161B" w14:paraId="13E2AC51" w14:textId="77777777">
        <w:trPr>
          <w:jc w:val="center"/>
        </w:trPr>
        <w:tc>
          <w:tcPr>
            <w:tcW w:w="443" w:type="pct"/>
            <w:shd w:val="clear" w:color="auto" w:fill="FFFFFF"/>
            <w:tcMar>
              <w:top w:w="75" w:type="dxa"/>
              <w:left w:w="75" w:type="dxa"/>
              <w:bottom w:w="75" w:type="dxa"/>
              <w:right w:w="75" w:type="dxa"/>
            </w:tcMar>
            <w:vAlign w:val="center"/>
          </w:tcPr>
          <w:p w14:paraId="5B1B3CDC" w14:textId="77777777" w:rsidR="003C161B" w:rsidRDefault="00000000">
            <w:pPr>
              <w:widowControl/>
              <w:wordWrap w:val="0"/>
              <w:jc w:val="center"/>
              <w:rPr>
                <w:rFonts w:eastAsiaTheme="majorEastAsia"/>
                <w:b/>
                <w:bCs/>
                <w:color w:val="333333"/>
                <w:kern w:val="0"/>
                <w:szCs w:val="21"/>
              </w:rPr>
            </w:pPr>
            <w:r>
              <w:rPr>
                <w:rFonts w:eastAsiaTheme="majorEastAsia"/>
                <w:b/>
                <w:bCs/>
                <w:color w:val="333333"/>
                <w:kern w:val="0"/>
                <w:szCs w:val="21"/>
              </w:rPr>
              <w:t>序号</w:t>
            </w:r>
          </w:p>
        </w:tc>
        <w:tc>
          <w:tcPr>
            <w:tcW w:w="1584" w:type="pct"/>
            <w:shd w:val="clear" w:color="auto" w:fill="FFFFFF"/>
            <w:tcMar>
              <w:top w:w="75" w:type="dxa"/>
              <w:left w:w="75" w:type="dxa"/>
              <w:bottom w:w="75" w:type="dxa"/>
              <w:right w:w="75" w:type="dxa"/>
            </w:tcMar>
            <w:vAlign w:val="center"/>
          </w:tcPr>
          <w:p w14:paraId="3EFA9D3D" w14:textId="77777777" w:rsidR="003C161B" w:rsidRDefault="00000000">
            <w:pPr>
              <w:widowControl/>
              <w:wordWrap w:val="0"/>
              <w:jc w:val="center"/>
              <w:rPr>
                <w:rFonts w:eastAsiaTheme="majorEastAsia"/>
                <w:b/>
                <w:bCs/>
                <w:color w:val="333333"/>
                <w:kern w:val="0"/>
                <w:szCs w:val="21"/>
              </w:rPr>
            </w:pPr>
            <w:r>
              <w:rPr>
                <w:rFonts w:eastAsiaTheme="majorEastAsia"/>
                <w:b/>
                <w:bCs/>
                <w:color w:val="333333"/>
                <w:kern w:val="0"/>
                <w:szCs w:val="21"/>
              </w:rPr>
              <w:t>项目名称</w:t>
            </w:r>
          </w:p>
        </w:tc>
        <w:tc>
          <w:tcPr>
            <w:tcW w:w="1042" w:type="pct"/>
            <w:shd w:val="clear" w:color="auto" w:fill="FFFFFF"/>
            <w:tcMar>
              <w:top w:w="75" w:type="dxa"/>
              <w:left w:w="75" w:type="dxa"/>
              <w:bottom w:w="75" w:type="dxa"/>
              <w:right w:w="75" w:type="dxa"/>
            </w:tcMar>
            <w:vAlign w:val="center"/>
          </w:tcPr>
          <w:p w14:paraId="2F6EF46B" w14:textId="77777777" w:rsidR="003C161B" w:rsidRDefault="00000000">
            <w:pPr>
              <w:widowControl/>
              <w:wordWrap w:val="0"/>
              <w:jc w:val="center"/>
              <w:rPr>
                <w:rFonts w:eastAsiaTheme="majorEastAsia"/>
                <w:b/>
                <w:bCs/>
                <w:color w:val="333333"/>
                <w:kern w:val="0"/>
                <w:szCs w:val="21"/>
              </w:rPr>
            </w:pPr>
            <w:r>
              <w:rPr>
                <w:rFonts w:eastAsiaTheme="majorEastAsia"/>
                <w:b/>
                <w:bCs/>
                <w:color w:val="333333"/>
                <w:kern w:val="0"/>
                <w:szCs w:val="21"/>
              </w:rPr>
              <w:t>项目总投资额</w:t>
            </w:r>
          </w:p>
        </w:tc>
        <w:tc>
          <w:tcPr>
            <w:tcW w:w="996" w:type="pct"/>
            <w:shd w:val="clear" w:color="auto" w:fill="FFFFFF"/>
            <w:tcMar>
              <w:top w:w="75" w:type="dxa"/>
              <w:left w:w="75" w:type="dxa"/>
              <w:bottom w:w="75" w:type="dxa"/>
              <w:right w:w="75" w:type="dxa"/>
            </w:tcMar>
            <w:vAlign w:val="center"/>
          </w:tcPr>
          <w:p w14:paraId="4EA37CBE" w14:textId="77777777" w:rsidR="003C161B" w:rsidRDefault="00000000">
            <w:pPr>
              <w:widowControl/>
              <w:wordWrap w:val="0"/>
              <w:jc w:val="center"/>
              <w:rPr>
                <w:rFonts w:eastAsiaTheme="majorEastAsia"/>
                <w:b/>
                <w:bCs/>
                <w:color w:val="333333"/>
                <w:kern w:val="0"/>
                <w:szCs w:val="21"/>
              </w:rPr>
            </w:pPr>
            <w:r>
              <w:rPr>
                <w:rFonts w:eastAsiaTheme="majorEastAsia"/>
                <w:b/>
                <w:bCs/>
                <w:color w:val="333333"/>
                <w:kern w:val="0"/>
                <w:szCs w:val="21"/>
              </w:rPr>
              <w:t>募集资金</w:t>
            </w:r>
            <w:r>
              <w:rPr>
                <w:rFonts w:eastAsiaTheme="majorEastAsia" w:hint="eastAsia"/>
                <w:b/>
                <w:bCs/>
                <w:color w:val="333333"/>
                <w:kern w:val="0"/>
                <w:szCs w:val="21"/>
              </w:rPr>
              <w:t>承诺</w:t>
            </w:r>
            <w:r>
              <w:rPr>
                <w:rFonts w:eastAsiaTheme="majorEastAsia"/>
                <w:b/>
                <w:bCs/>
                <w:color w:val="333333"/>
                <w:kern w:val="0"/>
                <w:szCs w:val="21"/>
              </w:rPr>
              <w:t>投资额</w:t>
            </w:r>
          </w:p>
        </w:tc>
        <w:tc>
          <w:tcPr>
            <w:tcW w:w="935" w:type="pct"/>
            <w:shd w:val="clear" w:color="auto" w:fill="FFFFFF"/>
          </w:tcPr>
          <w:p w14:paraId="70F576FD" w14:textId="38F1363D" w:rsidR="003C161B" w:rsidRDefault="00000000">
            <w:pPr>
              <w:widowControl/>
              <w:wordWrap w:val="0"/>
              <w:jc w:val="center"/>
              <w:rPr>
                <w:rFonts w:eastAsiaTheme="majorEastAsia"/>
                <w:b/>
                <w:bCs/>
                <w:color w:val="333333"/>
                <w:kern w:val="0"/>
                <w:szCs w:val="21"/>
              </w:rPr>
            </w:pPr>
            <w:r>
              <w:rPr>
                <w:rFonts w:eastAsiaTheme="majorEastAsia" w:hint="eastAsia"/>
                <w:b/>
                <w:bCs/>
                <w:color w:val="333333"/>
                <w:kern w:val="0"/>
                <w:szCs w:val="21"/>
              </w:rPr>
              <w:t>截至</w:t>
            </w:r>
            <w:r w:rsidR="00A161D5">
              <w:rPr>
                <w:rFonts w:eastAsiaTheme="majorEastAsia" w:hint="eastAsia"/>
                <w:b/>
                <w:bCs/>
                <w:color w:val="333333"/>
                <w:kern w:val="0"/>
                <w:szCs w:val="21"/>
              </w:rPr>
              <w:t>2</w:t>
            </w:r>
            <w:r w:rsidR="00A161D5">
              <w:rPr>
                <w:rFonts w:eastAsiaTheme="majorEastAsia"/>
                <w:b/>
                <w:bCs/>
                <w:color w:val="333333"/>
                <w:kern w:val="0"/>
                <w:szCs w:val="21"/>
              </w:rPr>
              <w:t>02</w:t>
            </w:r>
            <w:r w:rsidR="00A161D5">
              <w:rPr>
                <w:rFonts w:eastAsiaTheme="majorEastAsia" w:hint="eastAsia"/>
                <w:b/>
                <w:bCs/>
                <w:color w:val="333333"/>
                <w:kern w:val="0"/>
                <w:szCs w:val="21"/>
              </w:rPr>
              <w:t>3</w:t>
            </w:r>
            <w:r w:rsidR="00A161D5">
              <w:rPr>
                <w:rFonts w:eastAsiaTheme="majorEastAsia" w:hint="eastAsia"/>
                <w:b/>
                <w:bCs/>
                <w:color w:val="333333"/>
                <w:kern w:val="0"/>
                <w:szCs w:val="21"/>
              </w:rPr>
              <w:t>年</w:t>
            </w:r>
            <w:r w:rsidR="00A161D5">
              <w:rPr>
                <w:rFonts w:eastAsiaTheme="majorEastAsia"/>
                <w:b/>
                <w:bCs/>
                <w:color w:val="333333"/>
                <w:kern w:val="0"/>
                <w:szCs w:val="21"/>
              </w:rPr>
              <w:t>12</w:t>
            </w:r>
            <w:r>
              <w:rPr>
                <w:rFonts w:eastAsiaTheme="majorEastAsia" w:hint="eastAsia"/>
                <w:b/>
                <w:bCs/>
                <w:color w:val="333333"/>
                <w:kern w:val="0"/>
                <w:szCs w:val="21"/>
              </w:rPr>
              <w:t>月</w:t>
            </w:r>
            <w:r w:rsidR="00A161D5">
              <w:rPr>
                <w:rFonts w:eastAsiaTheme="majorEastAsia"/>
                <w:b/>
                <w:bCs/>
                <w:color w:val="333333"/>
                <w:kern w:val="0"/>
                <w:szCs w:val="21"/>
              </w:rPr>
              <w:t>31</w:t>
            </w:r>
            <w:r>
              <w:rPr>
                <w:rFonts w:eastAsiaTheme="majorEastAsia" w:hint="eastAsia"/>
                <w:b/>
                <w:bCs/>
                <w:color w:val="333333"/>
                <w:kern w:val="0"/>
                <w:szCs w:val="21"/>
              </w:rPr>
              <w:t>日已投入金额</w:t>
            </w:r>
          </w:p>
        </w:tc>
      </w:tr>
      <w:tr w:rsidR="003C161B" w14:paraId="086DB413" w14:textId="77777777">
        <w:trPr>
          <w:jc w:val="center"/>
        </w:trPr>
        <w:tc>
          <w:tcPr>
            <w:tcW w:w="443" w:type="pct"/>
            <w:shd w:val="clear" w:color="auto" w:fill="FFFFFF"/>
            <w:tcMar>
              <w:top w:w="75" w:type="dxa"/>
              <w:left w:w="75" w:type="dxa"/>
              <w:bottom w:w="75" w:type="dxa"/>
              <w:right w:w="75" w:type="dxa"/>
            </w:tcMar>
            <w:vAlign w:val="center"/>
          </w:tcPr>
          <w:p w14:paraId="79F9622F" w14:textId="77777777" w:rsidR="003C161B" w:rsidRDefault="00000000">
            <w:pPr>
              <w:widowControl/>
              <w:wordWrap w:val="0"/>
              <w:jc w:val="center"/>
              <w:rPr>
                <w:rFonts w:eastAsiaTheme="majorEastAsia"/>
                <w:color w:val="333333"/>
                <w:kern w:val="0"/>
                <w:szCs w:val="21"/>
              </w:rPr>
            </w:pPr>
            <w:r>
              <w:rPr>
                <w:rFonts w:eastAsiaTheme="majorEastAsia"/>
                <w:color w:val="333333"/>
                <w:kern w:val="0"/>
                <w:szCs w:val="21"/>
              </w:rPr>
              <w:t>1</w:t>
            </w:r>
          </w:p>
        </w:tc>
        <w:tc>
          <w:tcPr>
            <w:tcW w:w="1584" w:type="pct"/>
            <w:shd w:val="clear" w:color="auto" w:fill="FFFFFF"/>
            <w:tcMar>
              <w:top w:w="75" w:type="dxa"/>
              <w:left w:w="75" w:type="dxa"/>
              <w:bottom w:w="75" w:type="dxa"/>
              <w:right w:w="75" w:type="dxa"/>
            </w:tcMar>
            <w:vAlign w:val="center"/>
          </w:tcPr>
          <w:p w14:paraId="6F389F34" w14:textId="77777777" w:rsidR="003C161B" w:rsidRDefault="00000000">
            <w:pPr>
              <w:widowControl/>
              <w:wordWrap w:val="0"/>
              <w:jc w:val="center"/>
              <w:rPr>
                <w:rFonts w:eastAsiaTheme="majorEastAsia"/>
                <w:color w:val="333333"/>
                <w:kern w:val="0"/>
                <w:szCs w:val="21"/>
              </w:rPr>
            </w:pPr>
            <w:r>
              <w:rPr>
                <w:rFonts w:eastAsiaTheme="majorEastAsia"/>
                <w:color w:val="333333"/>
                <w:kern w:val="0"/>
                <w:szCs w:val="21"/>
              </w:rPr>
              <w:t>新建自动化仓库项目</w:t>
            </w:r>
          </w:p>
        </w:tc>
        <w:tc>
          <w:tcPr>
            <w:tcW w:w="1042" w:type="pct"/>
            <w:shd w:val="clear" w:color="auto" w:fill="FFFFFF"/>
            <w:tcMar>
              <w:top w:w="75" w:type="dxa"/>
              <w:left w:w="75" w:type="dxa"/>
              <w:bottom w:w="75" w:type="dxa"/>
              <w:right w:w="75" w:type="dxa"/>
            </w:tcMar>
            <w:vAlign w:val="center"/>
          </w:tcPr>
          <w:p w14:paraId="6A409116" w14:textId="77777777" w:rsidR="003C161B" w:rsidRDefault="00000000">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13,800.00</w:t>
            </w:r>
          </w:p>
        </w:tc>
        <w:tc>
          <w:tcPr>
            <w:tcW w:w="996" w:type="pct"/>
            <w:shd w:val="clear" w:color="auto" w:fill="FFFFFF"/>
            <w:tcMar>
              <w:top w:w="75" w:type="dxa"/>
              <w:left w:w="75" w:type="dxa"/>
              <w:bottom w:w="75" w:type="dxa"/>
              <w:right w:w="75" w:type="dxa"/>
            </w:tcMar>
            <w:vAlign w:val="center"/>
          </w:tcPr>
          <w:p w14:paraId="4A0AFB4B" w14:textId="77777777" w:rsidR="003C161B" w:rsidRDefault="00000000">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12,900.00</w:t>
            </w:r>
          </w:p>
        </w:tc>
        <w:tc>
          <w:tcPr>
            <w:tcW w:w="935" w:type="pct"/>
            <w:shd w:val="clear" w:color="auto" w:fill="FFFFFF"/>
            <w:vAlign w:val="center"/>
          </w:tcPr>
          <w:p w14:paraId="22574138" w14:textId="77777777" w:rsidR="003C161B" w:rsidRDefault="00000000">
            <w:pPr>
              <w:spacing w:line="320" w:lineRule="exact"/>
              <w:jc w:val="right"/>
              <w:rPr>
                <w:rFonts w:eastAsiaTheme="majorEastAsia"/>
                <w:color w:val="333333"/>
                <w:kern w:val="0"/>
                <w:szCs w:val="21"/>
              </w:rPr>
            </w:pPr>
            <w:r>
              <w:rPr>
                <w:rFonts w:hint="eastAsia"/>
                <w:bCs/>
                <w:szCs w:val="21"/>
              </w:rPr>
              <w:t>9,895.43</w:t>
            </w:r>
          </w:p>
        </w:tc>
      </w:tr>
      <w:tr w:rsidR="003C161B" w14:paraId="1F10DF28" w14:textId="77777777">
        <w:trPr>
          <w:jc w:val="center"/>
        </w:trPr>
        <w:tc>
          <w:tcPr>
            <w:tcW w:w="443" w:type="pct"/>
            <w:shd w:val="clear" w:color="auto" w:fill="FFFFFF"/>
            <w:tcMar>
              <w:top w:w="75" w:type="dxa"/>
              <w:left w:w="75" w:type="dxa"/>
              <w:bottom w:w="75" w:type="dxa"/>
              <w:right w:w="75" w:type="dxa"/>
            </w:tcMar>
            <w:vAlign w:val="center"/>
          </w:tcPr>
          <w:p w14:paraId="73A1EF40" w14:textId="77777777" w:rsidR="003C161B" w:rsidRDefault="00000000">
            <w:pPr>
              <w:widowControl/>
              <w:wordWrap w:val="0"/>
              <w:jc w:val="center"/>
              <w:rPr>
                <w:rFonts w:eastAsiaTheme="majorEastAsia"/>
                <w:color w:val="333333"/>
                <w:kern w:val="0"/>
                <w:szCs w:val="21"/>
              </w:rPr>
            </w:pPr>
            <w:r>
              <w:rPr>
                <w:rFonts w:eastAsiaTheme="majorEastAsia"/>
                <w:color w:val="333333"/>
                <w:kern w:val="0"/>
                <w:szCs w:val="21"/>
              </w:rPr>
              <w:lastRenderedPageBreak/>
              <w:t>2</w:t>
            </w:r>
          </w:p>
        </w:tc>
        <w:tc>
          <w:tcPr>
            <w:tcW w:w="1584" w:type="pct"/>
            <w:shd w:val="clear" w:color="auto" w:fill="FFFFFF"/>
            <w:tcMar>
              <w:top w:w="75" w:type="dxa"/>
              <w:left w:w="75" w:type="dxa"/>
              <w:bottom w:w="75" w:type="dxa"/>
              <w:right w:w="75" w:type="dxa"/>
            </w:tcMar>
            <w:vAlign w:val="center"/>
          </w:tcPr>
          <w:p w14:paraId="26646CDA" w14:textId="77777777" w:rsidR="003C161B" w:rsidRDefault="00000000">
            <w:pPr>
              <w:widowControl/>
              <w:wordWrap w:val="0"/>
              <w:jc w:val="center"/>
              <w:rPr>
                <w:rFonts w:eastAsiaTheme="majorEastAsia"/>
                <w:color w:val="333333"/>
                <w:kern w:val="0"/>
                <w:szCs w:val="21"/>
              </w:rPr>
            </w:pPr>
            <w:r>
              <w:rPr>
                <w:rFonts w:eastAsiaTheme="majorEastAsia"/>
                <w:color w:val="333333"/>
                <w:kern w:val="0"/>
                <w:szCs w:val="21"/>
              </w:rPr>
              <w:t>合肥智慧物流基地一期建设项目</w:t>
            </w:r>
          </w:p>
        </w:tc>
        <w:tc>
          <w:tcPr>
            <w:tcW w:w="1042" w:type="pct"/>
            <w:shd w:val="clear" w:color="auto" w:fill="FFFFFF"/>
            <w:tcMar>
              <w:top w:w="75" w:type="dxa"/>
              <w:left w:w="75" w:type="dxa"/>
              <w:bottom w:w="75" w:type="dxa"/>
              <w:right w:w="75" w:type="dxa"/>
            </w:tcMar>
            <w:vAlign w:val="center"/>
          </w:tcPr>
          <w:p w14:paraId="75B0B1BF" w14:textId="77777777" w:rsidR="003C161B" w:rsidRDefault="00000000">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25,857.08</w:t>
            </w:r>
          </w:p>
        </w:tc>
        <w:tc>
          <w:tcPr>
            <w:tcW w:w="996" w:type="pct"/>
            <w:shd w:val="clear" w:color="auto" w:fill="FFFFFF"/>
            <w:tcMar>
              <w:top w:w="75" w:type="dxa"/>
              <w:left w:w="75" w:type="dxa"/>
              <w:bottom w:w="75" w:type="dxa"/>
              <w:right w:w="75" w:type="dxa"/>
            </w:tcMar>
            <w:vAlign w:val="center"/>
          </w:tcPr>
          <w:p w14:paraId="169FE254" w14:textId="77777777" w:rsidR="003C161B" w:rsidRDefault="00000000">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25,857.08</w:t>
            </w:r>
          </w:p>
        </w:tc>
        <w:tc>
          <w:tcPr>
            <w:tcW w:w="935" w:type="pct"/>
            <w:shd w:val="clear" w:color="auto" w:fill="FFFFFF"/>
            <w:vAlign w:val="center"/>
          </w:tcPr>
          <w:p w14:paraId="0EBA6066" w14:textId="70EB3BF3" w:rsidR="003C161B" w:rsidRDefault="00A161D5" w:rsidP="00A161D5">
            <w:pPr>
              <w:widowControl/>
              <w:wordWrap w:val="0"/>
              <w:overflowPunct w:val="0"/>
              <w:adjustRightInd w:val="0"/>
              <w:snapToGrid w:val="0"/>
              <w:jc w:val="right"/>
              <w:rPr>
                <w:rFonts w:eastAsiaTheme="majorEastAsia"/>
                <w:color w:val="333333"/>
                <w:kern w:val="0"/>
                <w:szCs w:val="21"/>
              </w:rPr>
            </w:pPr>
            <w:r w:rsidRPr="00A161D5">
              <w:rPr>
                <w:rFonts w:eastAsiaTheme="majorEastAsia"/>
                <w:color w:val="333333"/>
                <w:kern w:val="0"/>
                <w:szCs w:val="21"/>
              </w:rPr>
              <w:t>24,684.96</w:t>
            </w:r>
          </w:p>
        </w:tc>
      </w:tr>
      <w:tr w:rsidR="003C161B" w14:paraId="1C6BC0D3" w14:textId="77777777">
        <w:trPr>
          <w:jc w:val="center"/>
        </w:trPr>
        <w:tc>
          <w:tcPr>
            <w:tcW w:w="443" w:type="pct"/>
            <w:shd w:val="clear" w:color="auto" w:fill="FFFFFF"/>
            <w:tcMar>
              <w:top w:w="75" w:type="dxa"/>
              <w:left w:w="75" w:type="dxa"/>
              <w:bottom w:w="75" w:type="dxa"/>
              <w:right w:w="75" w:type="dxa"/>
            </w:tcMar>
            <w:vAlign w:val="center"/>
          </w:tcPr>
          <w:p w14:paraId="654DBA8D" w14:textId="77777777" w:rsidR="003C161B" w:rsidRDefault="00000000">
            <w:pPr>
              <w:widowControl/>
              <w:wordWrap w:val="0"/>
              <w:jc w:val="center"/>
              <w:rPr>
                <w:rFonts w:eastAsiaTheme="majorEastAsia"/>
                <w:color w:val="333333"/>
                <w:kern w:val="0"/>
                <w:szCs w:val="21"/>
              </w:rPr>
            </w:pPr>
            <w:r>
              <w:rPr>
                <w:rFonts w:eastAsiaTheme="majorEastAsia"/>
                <w:color w:val="333333"/>
                <w:kern w:val="0"/>
                <w:szCs w:val="21"/>
              </w:rPr>
              <w:t>3</w:t>
            </w:r>
          </w:p>
        </w:tc>
        <w:tc>
          <w:tcPr>
            <w:tcW w:w="1584" w:type="pct"/>
            <w:shd w:val="clear" w:color="auto" w:fill="FFFFFF"/>
            <w:tcMar>
              <w:top w:w="75" w:type="dxa"/>
              <w:left w:w="75" w:type="dxa"/>
              <w:bottom w:w="75" w:type="dxa"/>
              <w:right w:w="75" w:type="dxa"/>
            </w:tcMar>
            <w:vAlign w:val="center"/>
          </w:tcPr>
          <w:p w14:paraId="71FA95D3" w14:textId="77777777" w:rsidR="003C161B" w:rsidRDefault="00000000">
            <w:pPr>
              <w:widowControl/>
              <w:wordWrap w:val="0"/>
              <w:jc w:val="center"/>
              <w:rPr>
                <w:rFonts w:eastAsiaTheme="majorEastAsia"/>
                <w:color w:val="333333"/>
                <w:kern w:val="0"/>
                <w:szCs w:val="21"/>
              </w:rPr>
            </w:pPr>
            <w:r>
              <w:rPr>
                <w:rFonts w:eastAsiaTheme="majorEastAsia"/>
                <w:color w:val="333333"/>
                <w:kern w:val="0"/>
                <w:szCs w:val="21"/>
              </w:rPr>
              <w:t>深圳研发中心项目</w:t>
            </w:r>
          </w:p>
        </w:tc>
        <w:tc>
          <w:tcPr>
            <w:tcW w:w="1042" w:type="pct"/>
            <w:shd w:val="clear" w:color="auto" w:fill="FFFFFF"/>
            <w:tcMar>
              <w:top w:w="75" w:type="dxa"/>
              <w:left w:w="75" w:type="dxa"/>
              <w:bottom w:w="75" w:type="dxa"/>
              <w:right w:w="75" w:type="dxa"/>
            </w:tcMar>
            <w:vAlign w:val="center"/>
          </w:tcPr>
          <w:p w14:paraId="3552C15B" w14:textId="77777777" w:rsidR="003C161B" w:rsidRDefault="00000000">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14,829.23</w:t>
            </w:r>
          </w:p>
        </w:tc>
        <w:tc>
          <w:tcPr>
            <w:tcW w:w="996" w:type="pct"/>
            <w:shd w:val="clear" w:color="auto" w:fill="FFFFFF"/>
            <w:tcMar>
              <w:top w:w="75" w:type="dxa"/>
              <w:left w:w="75" w:type="dxa"/>
              <w:bottom w:w="75" w:type="dxa"/>
              <w:right w:w="75" w:type="dxa"/>
            </w:tcMar>
            <w:vAlign w:val="center"/>
          </w:tcPr>
          <w:p w14:paraId="42D083B8" w14:textId="77777777" w:rsidR="003C161B" w:rsidRDefault="00000000">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14,829.23</w:t>
            </w:r>
          </w:p>
        </w:tc>
        <w:tc>
          <w:tcPr>
            <w:tcW w:w="935" w:type="pct"/>
            <w:shd w:val="clear" w:color="auto" w:fill="FFFFFF"/>
            <w:vAlign w:val="center"/>
          </w:tcPr>
          <w:p w14:paraId="545A0482" w14:textId="77777777" w:rsidR="003C161B" w:rsidRDefault="00000000">
            <w:pPr>
              <w:spacing w:line="280" w:lineRule="exact"/>
              <w:jc w:val="right"/>
              <w:rPr>
                <w:rFonts w:eastAsiaTheme="majorEastAsia"/>
                <w:color w:val="333333"/>
                <w:kern w:val="0"/>
                <w:szCs w:val="21"/>
              </w:rPr>
            </w:pPr>
            <w:r>
              <w:rPr>
                <w:color w:val="000000"/>
                <w:szCs w:val="21"/>
              </w:rPr>
              <w:t>-</w:t>
            </w:r>
          </w:p>
        </w:tc>
      </w:tr>
      <w:tr w:rsidR="003C161B" w14:paraId="27EE3A1F" w14:textId="77777777">
        <w:trPr>
          <w:jc w:val="center"/>
        </w:trPr>
        <w:tc>
          <w:tcPr>
            <w:tcW w:w="443" w:type="pct"/>
            <w:shd w:val="clear" w:color="auto" w:fill="FFFFFF"/>
            <w:tcMar>
              <w:top w:w="75" w:type="dxa"/>
              <w:left w:w="75" w:type="dxa"/>
              <w:bottom w:w="75" w:type="dxa"/>
              <w:right w:w="75" w:type="dxa"/>
            </w:tcMar>
            <w:vAlign w:val="center"/>
          </w:tcPr>
          <w:p w14:paraId="6CD13112" w14:textId="77777777" w:rsidR="003C161B" w:rsidRDefault="00000000">
            <w:pPr>
              <w:widowControl/>
              <w:wordWrap w:val="0"/>
              <w:jc w:val="center"/>
              <w:rPr>
                <w:rFonts w:eastAsiaTheme="majorEastAsia"/>
                <w:color w:val="333333"/>
                <w:kern w:val="0"/>
                <w:szCs w:val="21"/>
              </w:rPr>
            </w:pPr>
            <w:r>
              <w:rPr>
                <w:rFonts w:eastAsiaTheme="majorEastAsia"/>
                <w:color w:val="333333"/>
                <w:kern w:val="0"/>
                <w:szCs w:val="21"/>
              </w:rPr>
              <w:t>4</w:t>
            </w:r>
          </w:p>
        </w:tc>
        <w:tc>
          <w:tcPr>
            <w:tcW w:w="1584" w:type="pct"/>
            <w:shd w:val="clear" w:color="auto" w:fill="FFFFFF"/>
            <w:tcMar>
              <w:top w:w="75" w:type="dxa"/>
              <w:left w:w="75" w:type="dxa"/>
              <w:bottom w:w="75" w:type="dxa"/>
              <w:right w:w="75" w:type="dxa"/>
            </w:tcMar>
            <w:vAlign w:val="center"/>
          </w:tcPr>
          <w:p w14:paraId="30547840" w14:textId="77777777" w:rsidR="003C161B" w:rsidRDefault="00000000">
            <w:pPr>
              <w:widowControl/>
              <w:wordWrap w:val="0"/>
              <w:jc w:val="center"/>
              <w:rPr>
                <w:rFonts w:eastAsiaTheme="majorEastAsia"/>
                <w:color w:val="333333"/>
                <w:kern w:val="0"/>
                <w:szCs w:val="21"/>
              </w:rPr>
            </w:pPr>
            <w:r>
              <w:rPr>
                <w:rFonts w:eastAsiaTheme="majorEastAsia"/>
                <w:color w:val="333333"/>
                <w:kern w:val="0"/>
                <w:szCs w:val="21"/>
              </w:rPr>
              <w:t>补充流动资金</w:t>
            </w:r>
          </w:p>
        </w:tc>
        <w:tc>
          <w:tcPr>
            <w:tcW w:w="1042" w:type="pct"/>
            <w:shd w:val="clear" w:color="auto" w:fill="FFFFFF"/>
            <w:tcMar>
              <w:top w:w="75" w:type="dxa"/>
              <w:left w:w="75" w:type="dxa"/>
              <w:bottom w:w="75" w:type="dxa"/>
              <w:right w:w="75" w:type="dxa"/>
            </w:tcMar>
            <w:vAlign w:val="center"/>
          </w:tcPr>
          <w:p w14:paraId="3395FAB4" w14:textId="77777777" w:rsidR="003C161B" w:rsidRDefault="00000000">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12,000.00</w:t>
            </w:r>
          </w:p>
        </w:tc>
        <w:tc>
          <w:tcPr>
            <w:tcW w:w="996" w:type="pct"/>
            <w:shd w:val="clear" w:color="auto" w:fill="FFFFFF"/>
            <w:tcMar>
              <w:top w:w="75" w:type="dxa"/>
              <w:left w:w="75" w:type="dxa"/>
              <w:bottom w:w="75" w:type="dxa"/>
              <w:right w:w="75" w:type="dxa"/>
            </w:tcMar>
            <w:vAlign w:val="center"/>
          </w:tcPr>
          <w:p w14:paraId="1BBFA1DC" w14:textId="77777777" w:rsidR="003C161B" w:rsidRDefault="00000000">
            <w:pPr>
              <w:widowControl/>
              <w:wordWrap w:val="0"/>
              <w:overflowPunct w:val="0"/>
              <w:adjustRightInd w:val="0"/>
              <w:snapToGrid w:val="0"/>
              <w:jc w:val="right"/>
              <w:rPr>
                <w:rFonts w:eastAsiaTheme="majorEastAsia"/>
                <w:color w:val="333333"/>
                <w:kern w:val="0"/>
                <w:szCs w:val="21"/>
              </w:rPr>
            </w:pPr>
            <w:r>
              <w:rPr>
                <w:rFonts w:eastAsiaTheme="majorEastAsia"/>
                <w:color w:val="333333"/>
                <w:kern w:val="0"/>
                <w:szCs w:val="21"/>
              </w:rPr>
              <w:t>12,000.00</w:t>
            </w:r>
          </w:p>
        </w:tc>
        <w:tc>
          <w:tcPr>
            <w:tcW w:w="935" w:type="pct"/>
            <w:shd w:val="clear" w:color="auto" w:fill="FFFFFF"/>
            <w:vAlign w:val="center"/>
          </w:tcPr>
          <w:p w14:paraId="21B13FED" w14:textId="77777777" w:rsidR="003C161B" w:rsidRDefault="00000000">
            <w:pPr>
              <w:spacing w:line="280" w:lineRule="exact"/>
              <w:jc w:val="right"/>
              <w:rPr>
                <w:rFonts w:eastAsiaTheme="majorEastAsia"/>
                <w:color w:val="333333"/>
                <w:kern w:val="0"/>
                <w:szCs w:val="21"/>
              </w:rPr>
            </w:pPr>
            <w:r>
              <w:rPr>
                <w:color w:val="000000"/>
                <w:szCs w:val="21"/>
              </w:rPr>
              <w:t>12,000.00</w:t>
            </w:r>
          </w:p>
        </w:tc>
      </w:tr>
      <w:tr w:rsidR="003C161B" w14:paraId="7FF15E7C" w14:textId="77777777">
        <w:trPr>
          <w:jc w:val="center"/>
        </w:trPr>
        <w:tc>
          <w:tcPr>
            <w:tcW w:w="2027" w:type="pct"/>
            <w:gridSpan w:val="2"/>
            <w:shd w:val="clear" w:color="auto" w:fill="FFFFFF"/>
            <w:tcMar>
              <w:top w:w="75" w:type="dxa"/>
              <w:left w:w="75" w:type="dxa"/>
              <w:bottom w:w="75" w:type="dxa"/>
              <w:right w:w="75" w:type="dxa"/>
            </w:tcMar>
            <w:vAlign w:val="center"/>
          </w:tcPr>
          <w:p w14:paraId="793874A0" w14:textId="77777777" w:rsidR="003C161B" w:rsidRDefault="00000000">
            <w:pPr>
              <w:widowControl/>
              <w:wordWrap w:val="0"/>
              <w:jc w:val="center"/>
              <w:rPr>
                <w:rFonts w:eastAsiaTheme="majorEastAsia"/>
                <w:b/>
                <w:bCs/>
                <w:color w:val="333333"/>
                <w:kern w:val="0"/>
                <w:szCs w:val="21"/>
              </w:rPr>
            </w:pPr>
            <w:r>
              <w:rPr>
                <w:rFonts w:eastAsiaTheme="majorEastAsia"/>
                <w:b/>
                <w:bCs/>
                <w:color w:val="333333"/>
                <w:kern w:val="0"/>
                <w:szCs w:val="21"/>
              </w:rPr>
              <w:t>合</w:t>
            </w:r>
            <w:r>
              <w:rPr>
                <w:rFonts w:eastAsiaTheme="majorEastAsia"/>
                <w:b/>
                <w:bCs/>
                <w:color w:val="333333"/>
                <w:kern w:val="0"/>
                <w:szCs w:val="21"/>
              </w:rPr>
              <w:t xml:space="preserve"> </w:t>
            </w:r>
            <w:r>
              <w:rPr>
                <w:rFonts w:eastAsiaTheme="majorEastAsia"/>
                <w:b/>
                <w:bCs/>
                <w:color w:val="333333"/>
                <w:kern w:val="0"/>
                <w:szCs w:val="21"/>
              </w:rPr>
              <w:t>计</w:t>
            </w:r>
          </w:p>
        </w:tc>
        <w:tc>
          <w:tcPr>
            <w:tcW w:w="1042" w:type="pct"/>
            <w:shd w:val="clear" w:color="auto" w:fill="FFFFFF"/>
            <w:tcMar>
              <w:top w:w="75" w:type="dxa"/>
              <w:left w:w="75" w:type="dxa"/>
              <w:bottom w:w="75" w:type="dxa"/>
              <w:right w:w="75" w:type="dxa"/>
            </w:tcMar>
            <w:vAlign w:val="center"/>
          </w:tcPr>
          <w:p w14:paraId="05DF1544" w14:textId="77777777" w:rsidR="003C161B" w:rsidRDefault="00000000">
            <w:pPr>
              <w:widowControl/>
              <w:wordWrap w:val="0"/>
              <w:overflowPunct w:val="0"/>
              <w:adjustRightInd w:val="0"/>
              <w:snapToGrid w:val="0"/>
              <w:jc w:val="right"/>
              <w:rPr>
                <w:rFonts w:eastAsiaTheme="majorEastAsia"/>
                <w:b/>
                <w:bCs/>
                <w:color w:val="333333"/>
                <w:kern w:val="0"/>
                <w:szCs w:val="21"/>
              </w:rPr>
            </w:pPr>
            <w:r>
              <w:rPr>
                <w:rFonts w:eastAsiaTheme="majorEastAsia"/>
                <w:b/>
                <w:bCs/>
                <w:color w:val="333333"/>
                <w:kern w:val="0"/>
                <w:szCs w:val="21"/>
              </w:rPr>
              <w:t>66,486.31</w:t>
            </w:r>
          </w:p>
        </w:tc>
        <w:tc>
          <w:tcPr>
            <w:tcW w:w="996" w:type="pct"/>
            <w:shd w:val="clear" w:color="auto" w:fill="FFFFFF"/>
            <w:tcMar>
              <w:top w:w="75" w:type="dxa"/>
              <w:left w:w="75" w:type="dxa"/>
              <w:bottom w:w="75" w:type="dxa"/>
              <w:right w:w="75" w:type="dxa"/>
            </w:tcMar>
            <w:vAlign w:val="center"/>
          </w:tcPr>
          <w:p w14:paraId="5A3F7DFC" w14:textId="77777777" w:rsidR="003C161B" w:rsidRDefault="00000000">
            <w:pPr>
              <w:widowControl/>
              <w:wordWrap w:val="0"/>
              <w:overflowPunct w:val="0"/>
              <w:adjustRightInd w:val="0"/>
              <w:snapToGrid w:val="0"/>
              <w:jc w:val="right"/>
              <w:rPr>
                <w:rFonts w:eastAsiaTheme="majorEastAsia"/>
                <w:b/>
                <w:bCs/>
                <w:color w:val="333333"/>
                <w:kern w:val="0"/>
                <w:szCs w:val="21"/>
              </w:rPr>
            </w:pPr>
            <w:r>
              <w:rPr>
                <w:rFonts w:eastAsiaTheme="majorEastAsia"/>
                <w:b/>
                <w:bCs/>
                <w:color w:val="333333"/>
                <w:kern w:val="0"/>
                <w:szCs w:val="21"/>
              </w:rPr>
              <w:t>65,586.31</w:t>
            </w:r>
          </w:p>
        </w:tc>
        <w:tc>
          <w:tcPr>
            <w:tcW w:w="935" w:type="pct"/>
            <w:shd w:val="clear" w:color="auto" w:fill="FFFFFF"/>
            <w:vAlign w:val="center"/>
          </w:tcPr>
          <w:p w14:paraId="50D113CC" w14:textId="67971CB5" w:rsidR="003C161B" w:rsidRDefault="00A161D5">
            <w:pPr>
              <w:spacing w:line="280" w:lineRule="exact"/>
              <w:jc w:val="right"/>
              <w:rPr>
                <w:rFonts w:eastAsiaTheme="majorEastAsia"/>
                <w:b/>
                <w:bCs/>
                <w:color w:val="333333"/>
                <w:kern w:val="0"/>
                <w:szCs w:val="21"/>
              </w:rPr>
            </w:pPr>
            <w:r w:rsidRPr="00A161D5">
              <w:rPr>
                <w:b/>
                <w:bCs/>
                <w:szCs w:val="21"/>
              </w:rPr>
              <w:t>46,580.40</w:t>
            </w:r>
          </w:p>
        </w:tc>
      </w:tr>
    </w:tbl>
    <w:p w14:paraId="69C2B208" w14:textId="6BF2FDE7" w:rsidR="003C161B" w:rsidRPr="00C9235C" w:rsidRDefault="00000000" w:rsidP="00D152A5">
      <w:pPr>
        <w:spacing w:line="360" w:lineRule="auto"/>
        <w:ind w:firstLineChars="200" w:firstLine="480"/>
        <w:rPr>
          <w:rFonts w:eastAsiaTheme="minorEastAsia"/>
          <w:sz w:val="24"/>
        </w:rPr>
      </w:pPr>
      <w:r w:rsidRPr="00C9235C">
        <w:rPr>
          <w:rFonts w:eastAsiaTheme="minorEastAsia" w:hint="eastAsia"/>
          <w:sz w:val="24"/>
        </w:rPr>
        <w:t>公司于</w:t>
      </w:r>
      <w:r w:rsidRPr="00C9235C">
        <w:rPr>
          <w:rFonts w:eastAsiaTheme="minorEastAsia" w:hint="eastAsia"/>
          <w:sz w:val="24"/>
        </w:rPr>
        <w:t>2022</w:t>
      </w:r>
      <w:r w:rsidRPr="00C9235C">
        <w:rPr>
          <w:rFonts w:eastAsiaTheme="minorEastAsia" w:hint="eastAsia"/>
          <w:sz w:val="24"/>
        </w:rPr>
        <w:t>年</w:t>
      </w:r>
      <w:r w:rsidRPr="00C9235C">
        <w:rPr>
          <w:rFonts w:eastAsiaTheme="minorEastAsia" w:hint="eastAsia"/>
          <w:sz w:val="24"/>
        </w:rPr>
        <w:t>8</w:t>
      </w:r>
      <w:r w:rsidRPr="00C9235C">
        <w:rPr>
          <w:rFonts w:eastAsiaTheme="minorEastAsia" w:hint="eastAsia"/>
          <w:sz w:val="24"/>
        </w:rPr>
        <w:t>月</w:t>
      </w:r>
      <w:r w:rsidRPr="00C9235C">
        <w:rPr>
          <w:rFonts w:eastAsiaTheme="minorEastAsia" w:hint="eastAsia"/>
          <w:sz w:val="24"/>
        </w:rPr>
        <w:t>25</w:t>
      </w:r>
      <w:r w:rsidRPr="00C9235C">
        <w:rPr>
          <w:rFonts w:eastAsiaTheme="minorEastAsia" w:hint="eastAsia"/>
          <w:sz w:val="24"/>
        </w:rPr>
        <w:t>日召开第三届董事会第五次会议、第三届监事会第四次会议，审议通过了《关于使用超募资金投资南方智能仓库技改项目的议案》，</w:t>
      </w:r>
      <w:r w:rsidR="00C9235C">
        <w:rPr>
          <w:rFonts w:eastAsiaTheme="minorEastAsia" w:hint="eastAsia"/>
          <w:sz w:val="24"/>
        </w:rPr>
        <w:t>并于当日披露了《</w:t>
      </w:r>
      <w:r w:rsidR="00C9235C" w:rsidRPr="00C9235C">
        <w:rPr>
          <w:rFonts w:eastAsiaTheme="minorEastAsia" w:hint="eastAsia"/>
          <w:sz w:val="24"/>
        </w:rPr>
        <w:t>关于使用超募资金投资南方智能仓库技改项目的公告</w:t>
      </w:r>
      <w:r w:rsidR="00C9235C">
        <w:rPr>
          <w:rFonts w:eastAsiaTheme="minorEastAsia" w:hint="eastAsia"/>
          <w:sz w:val="24"/>
        </w:rPr>
        <w:t>》（公告编号：</w:t>
      </w:r>
      <w:r w:rsidR="00C9235C" w:rsidRPr="00C9235C">
        <w:rPr>
          <w:rFonts w:eastAsiaTheme="minorEastAsia" w:hint="eastAsia"/>
          <w:sz w:val="24"/>
        </w:rPr>
        <w:t>2022-116</w:t>
      </w:r>
      <w:r w:rsidR="00C9235C">
        <w:rPr>
          <w:rFonts w:eastAsiaTheme="minorEastAsia" w:hint="eastAsia"/>
          <w:sz w:val="24"/>
        </w:rPr>
        <w:t>）。</w:t>
      </w:r>
      <w:r w:rsidRPr="00C9235C">
        <w:rPr>
          <w:rFonts w:eastAsiaTheme="minorEastAsia" w:hint="eastAsia"/>
          <w:sz w:val="24"/>
        </w:rPr>
        <w:t>上述议案经公司</w:t>
      </w:r>
      <w:r w:rsidRPr="00C9235C">
        <w:rPr>
          <w:rFonts w:eastAsiaTheme="minorEastAsia" w:hint="eastAsia"/>
          <w:sz w:val="24"/>
        </w:rPr>
        <w:t>2022</w:t>
      </w:r>
      <w:r w:rsidRPr="00C9235C">
        <w:rPr>
          <w:rFonts w:eastAsiaTheme="minorEastAsia" w:hint="eastAsia"/>
          <w:sz w:val="24"/>
        </w:rPr>
        <w:t>年</w:t>
      </w:r>
      <w:r w:rsidRPr="00C9235C">
        <w:rPr>
          <w:rFonts w:eastAsiaTheme="minorEastAsia" w:hint="eastAsia"/>
          <w:sz w:val="24"/>
        </w:rPr>
        <w:t>9</w:t>
      </w:r>
      <w:r w:rsidRPr="00C9235C">
        <w:rPr>
          <w:rFonts w:eastAsiaTheme="minorEastAsia" w:hint="eastAsia"/>
          <w:sz w:val="24"/>
        </w:rPr>
        <w:t>月</w:t>
      </w:r>
      <w:r w:rsidRPr="00C9235C">
        <w:rPr>
          <w:rFonts w:eastAsiaTheme="minorEastAsia" w:hint="eastAsia"/>
          <w:sz w:val="24"/>
        </w:rPr>
        <w:t>14</w:t>
      </w:r>
      <w:r w:rsidRPr="00C9235C">
        <w:rPr>
          <w:rFonts w:eastAsiaTheme="minorEastAsia" w:hint="eastAsia"/>
          <w:sz w:val="24"/>
        </w:rPr>
        <w:t>日召开的</w:t>
      </w:r>
      <w:r w:rsidRPr="00C9235C">
        <w:rPr>
          <w:rFonts w:eastAsiaTheme="minorEastAsia" w:hint="eastAsia"/>
          <w:sz w:val="24"/>
        </w:rPr>
        <w:t>2022</w:t>
      </w:r>
      <w:r w:rsidRPr="00C9235C">
        <w:rPr>
          <w:rFonts w:eastAsiaTheme="minorEastAsia" w:hint="eastAsia"/>
          <w:sz w:val="24"/>
        </w:rPr>
        <w:t>年第四次临时股东大会审议通过</w:t>
      </w:r>
      <w:r w:rsidR="00C9235C">
        <w:rPr>
          <w:rFonts w:eastAsiaTheme="minorEastAsia" w:hint="eastAsia"/>
          <w:sz w:val="24"/>
        </w:rPr>
        <w:t>。公司根据审议结果将募集资金</w:t>
      </w:r>
      <w:r w:rsidR="00C9235C" w:rsidRPr="00C9235C">
        <w:rPr>
          <w:rFonts w:eastAsiaTheme="minorEastAsia"/>
          <w:sz w:val="24"/>
        </w:rPr>
        <w:t>20,317.11</w:t>
      </w:r>
      <w:r w:rsidR="00C9235C">
        <w:rPr>
          <w:rFonts w:eastAsiaTheme="minorEastAsia" w:hint="eastAsia"/>
          <w:sz w:val="24"/>
        </w:rPr>
        <w:t>万元</w:t>
      </w:r>
      <w:r w:rsidR="002739B8">
        <w:rPr>
          <w:rFonts w:eastAsiaTheme="minorEastAsia" w:hint="eastAsia"/>
          <w:sz w:val="24"/>
        </w:rPr>
        <w:t>（</w:t>
      </w:r>
      <w:r w:rsidR="002739B8" w:rsidRPr="002739B8">
        <w:rPr>
          <w:rFonts w:eastAsiaTheme="minorEastAsia" w:hint="eastAsia"/>
          <w:sz w:val="24"/>
        </w:rPr>
        <w:t>含转出时超募资金余额的利息及理财收益</w:t>
      </w:r>
      <w:r w:rsidR="002739B8">
        <w:rPr>
          <w:rFonts w:eastAsiaTheme="minorEastAsia" w:hint="eastAsia"/>
          <w:sz w:val="24"/>
        </w:rPr>
        <w:t>）</w:t>
      </w:r>
      <w:r w:rsidRPr="00C9235C">
        <w:rPr>
          <w:rFonts w:eastAsiaTheme="minorEastAsia" w:hint="eastAsia"/>
          <w:sz w:val="24"/>
        </w:rPr>
        <w:t>用于</w:t>
      </w:r>
      <w:r w:rsidR="00C9235C" w:rsidRPr="00C9235C">
        <w:rPr>
          <w:rFonts w:eastAsiaTheme="minorEastAsia" w:hint="eastAsia"/>
          <w:sz w:val="24"/>
        </w:rPr>
        <w:t>南方智能仓库技改项目</w:t>
      </w:r>
      <w:r w:rsidR="00C9235C">
        <w:rPr>
          <w:rFonts w:eastAsiaTheme="minorEastAsia" w:hint="eastAsia"/>
          <w:sz w:val="24"/>
        </w:rPr>
        <w:t>建设</w:t>
      </w:r>
      <w:r w:rsidRPr="00C9235C">
        <w:rPr>
          <w:rFonts w:eastAsiaTheme="minorEastAsia" w:hint="eastAsia"/>
          <w:sz w:val="24"/>
        </w:rPr>
        <w:t>。</w:t>
      </w:r>
    </w:p>
    <w:p w14:paraId="6D34C7D4" w14:textId="5A390337" w:rsidR="003C161B" w:rsidRDefault="001E1DEF">
      <w:pPr>
        <w:spacing w:beforeLines="50" w:before="156" w:afterLines="50" w:after="156" w:line="360" w:lineRule="auto"/>
        <w:ind w:firstLineChars="200" w:firstLine="482"/>
        <w:outlineLvl w:val="0"/>
        <w:rPr>
          <w:b/>
          <w:bCs/>
          <w:sz w:val="24"/>
        </w:rPr>
      </w:pPr>
      <w:r>
        <w:rPr>
          <w:rFonts w:hint="eastAsia"/>
          <w:b/>
          <w:bCs/>
          <w:sz w:val="24"/>
        </w:rPr>
        <w:t>三</w:t>
      </w:r>
      <w:r w:rsidR="00000000">
        <w:rPr>
          <w:rFonts w:hint="eastAsia"/>
          <w:b/>
          <w:bCs/>
          <w:sz w:val="24"/>
        </w:rPr>
        <w:t>、</w:t>
      </w:r>
      <w:r w:rsidR="00C9235C" w:rsidRPr="00EA650B">
        <w:rPr>
          <w:rFonts w:hint="eastAsia"/>
          <w:b/>
          <w:bCs/>
          <w:sz w:val="24"/>
        </w:rPr>
        <w:t>南方智能仓库技改项目</w:t>
      </w:r>
      <w:r w:rsidR="00000000">
        <w:rPr>
          <w:rFonts w:hint="eastAsia"/>
          <w:b/>
          <w:bCs/>
          <w:sz w:val="24"/>
        </w:rPr>
        <w:t>基本情况及本次调整情况</w:t>
      </w:r>
    </w:p>
    <w:p w14:paraId="16303919" w14:textId="77777777" w:rsidR="000261CD" w:rsidRDefault="00C9235C" w:rsidP="00D152A5">
      <w:pPr>
        <w:adjustRightInd w:val="0"/>
        <w:snapToGrid w:val="0"/>
        <w:spacing w:line="360" w:lineRule="auto"/>
        <w:ind w:firstLineChars="200" w:firstLine="480"/>
        <w:rPr>
          <w:rFonts w:eastAsiaTheme="minorEastAsia"/>
          <w:sz w:val="24"/>
        </w:rPr>
      </w:pPr>
      <w:r w:rsidRPr="00C9235C">
        <w:rPr>
          <w:rFonts w:eastAsiaTheme="minorEastAsia" w:hint="eastAsia"/>
          <w:sz w:val="24"/>
        </w:rPr>
        <w:t>南方智能仓库技改项目</w:t>
      </w:r>
      <w:r w:rsidR="000261CD">
        <w:rPr>
          <w:rFonts w:eastAsiaTheme="minorEastAsia" w:hint="eastAsia"/>
          <w:sz w:val="24"/>
        </w:rPr>
        <w:t>原计划</w:t>
      </w:r>
      <w:r>
        <w:rPr>
          <w:rFonts w:eastAsiaTheme="minorEastAsia" w:hint="eastAsia"/>
          <w:sz w:val="24"/>
        </w:rPr>
        <w:t>建设期</w:t>
      </w:r>
      <w:r>
        <w:rPr>
          <w:rFonts w:eastAsiaTheme="minorEastAsia" w:hint="eastAsia"/>
          <w:sz w:val="24"/>
        </w:rPr>
        <w:t>1</w:t>
      </w:r>
      <w:r>
        <w:rPr>
          <w:rFonts w:eastAsiaTheme="minorEastAsia"/>
          <w:sz w:val="24"/>
        </w:rPr>
        <w:t>8</w:t>
      </w:r>
      <w:r>
        <w:rPr>
          <w:rFonts w:eastAsiaTheme="minorEastAsia" w:hint="eastAsia"/>
          <w:sz w:val="24"/>
        </w:rPr>
        <w:t>个月</w:t>
      </w:r>
      <w:r w:rsidR="000261CD">
        <w:rPr>
          <w:rFonts w:eastAsiaTheme="minorEastAsia" w:hint="eastAsia"/>
          <w:sz w:val="24"/>
        </w:rPr>
        <w:t>，</w:t>
      </w:r>
      <w:r w:rsidR="000261CD" w:rsidRPr="00B25D55">
        <w:rPr>
          <w:rFonts w:hAnsi="宋体" w:cs="Arial" w:hint="eastAsia"/>
          <w:color w:val="000000"/>
          <w:sz w:val="24"/>
        </w:rPr>
        <w:t>针对</w:t>
      </w:r>
      <w:r w:rsidR="000261CD">
        <w:rPr>
          <w:rFonts w:hAnsi="宋体" w:cs="Arial" w:hint="eastAsia"/>
          <w:color w:val="000000"/>
          <w:sz w:val="24"/>
        </w:rPr>
        <w:t>南方项目传统</w:t>
      </w:r>
      <w:r w:rsidR="000261CD" w:rsidRPr="00B25D55">
        <w:rPr>
          <w:rFonts w:hAnsi="宋体" w:cs="Arial" w:hint="eastAsia"/>
          <w:color w:val="000000"/>
          <w:sz w:val="24"/>
        </w:rPr>
        <w:t>仓库进行自动化改造，</w:t>
      </w:r>
      <w:r w:rsidR="000261CD" w:rsidRPr="00B25D55">
        <w:rPr>
          <w:rFonts w:hAnsi="宋体" w:cs="Arial"/>
          <w:color w:val="000000"/>
          <w:sz w:val="24"/>
        </w:rPr>
        <w:t>分别</w:t>
      </w:r>
      <w:r w:rsidR="000261CD" w:rsidRPr="00B25D55">
        <w:rPr>
          <w:rFonts w:hAnsi="宋体" w:cs="Arial" w:hint="eastAsia"/>
          <w:color w:val="000000"/>
          <w:sz w:val="24"/>
        </w:rPr>
        <w:t>投入建设期间仓库租金以及分拣输送线、箱式</w:t>
      </w:r>
      <w:r w:rsidR="000261CD" w:rsidRPr="00B25D55">
        <w:rPr>
          <w:rFonts w:hAnsi="宋体" w:cs="Arial" w:hint="eastAsia"/>
          <w:color w:val="000000"/>
          <w:sz w:val="24"/>
        </w:rPr>
        <w:t>A</w:t>
      </w:r>
      <w:r w:rsidR="000261CD" w:rsidRPr="00B25D55">
        <w:rPr>
          <w:rFonts w:hAnsi="宋体" w:cs="Arial"/>
          <w:color w:val="000000"/>
          <w:sz w:val="24"/>
        </w:rPr>
        <w:t>CR</w:t>
      </w:r>
      <w:r w:rsidR="000261CD" w:rsidRPr="00B25D55">
        <w:rPr>
          <w:rFonts w:hAnsi="宋体" w:cs="Arial" w:hint="eastAsia"/>
          <w:color w:val="000000"/>
          <w:sz w:val="24"/>
        </w:rPr>
        <w:t>立体库、密集型立体库等自动化设备及系统，一期改造总</w:t>
      </w:r>
      <w:r w:rsidR="000261CD" w:rsidRPr="00B25D55">
        <w:rPr>
          <w:rFonts w:hAnsi="宋体" w:cs="Arial"/>
          <w:color w:val="000000"/>
          <w:sz w:val="24"/>
        </w:rPr>
        <w:t>面积约</w:t>
      </w:r>
      <w:r w:rsidR="000261CD" w:rsidRPr="00B25D55">
        <w:rPr>
          <w:rFonts w:hAnsi="宋体" w:cs="Arial"/>
          <w:color w:val="000000"/>
          <w:sz w:val="24"/>
        </w:rPr>
        <w:t>100</w:t>
      </w:r>
      <w:r w:rsidR="000261CD" w:rsidRPr="00B25D55">
        <w:rPr>
          <w:rFonts w:hAnsi="宋体" w:cs="Arial" w:hint="eastAsia"/>
          <w:color w:val="000000"/>
          <w:sz w:val="24"/>
        </w:rPr>
        <w:t>,</w:t>
      </w:r>
      <w:r w:rsidR="000261CD" w:rsidRPr="00B25D55">
        <w:rPr>
          <w:rFonts w:hAnsi="宋体" w:cs="Arial"/>
          <w:color w:val="000000"/>
          <w:sz w:val="24"/>
        </w:rPr>
        <w:t>000</w:t>
      </w:r>
      <w:r w:rsidR="000261CD" w:rsidRPr="00B25D55">
        <w:rPr>
          <w:rFonts w:hAnsi="宋体" w:cs="Arial"/>
          <w:color w:val="000000"/>
          <w:sz w:val="24"/>
        </w:rPr>
        <w:t>平米</w:t>
      </w:r>
      <w:r>
        <w:rPr>
          <w:rFonts w:eastAsiaTheme="minorEastAsia" w:hint="eastAsia"/>
          <w:sz w:val="24"/>
        </w:rPr>
        <w:t>。</w:t>
      </w:r>
    </w:p>
    <w:p w14:paraId="2A64334E" w14:textId="697624F1" w:rsidR="003C161B" w:rsidRDefault="00A2570D" w:rsidP="00D152A5">
      <w:pPr>
        <w:adjustRightInd w:val="0"/>
        <w:snapToGrid w:val="0"/>
        <w:spacing w:line="360" w:lineRule="auto"/>
        <w:ind w:firstLineChars="200" w:firstLine="480"/>
        <w:rPr>
          <w:rFonts w:eastAsiaTheme="minorEastAsia"/>
          <w:sz w:val="24"/>
        </w:rPr>
      </w:pPr>
      <w:r>
        <w:rPr>
          <w:rFonts w:eastAsiaTheme="minorEastAsia" w:hint="eastAsia"/>
          <w:sz w:val="24"/>
        </w:rPr>
        <w:t>截至</w:t>
      </w:r>
      <w:r>
        <w:rPr>
          <w:rFonts w:eastAsiaTheme="minorEastAsia" w:hint="eastAsia"/>
          <w:sz w:val="24"/>
        </w:rPr>
        <w:t>202</w:t>
      </w:r>
      <w:r w:rsidR="000261CD">
        <w:rPr>
          <w:rFonts w:eastAsiaTheme="minorEastAsia"/>
          <w:sz w:val="24"/>
        </w:rPr>
        <w:t>4</w:t>
      </w:r>
      <w:r>
        <w:rPr>
          <w:rFonts w:eastAsiaTheme="minorEastAsia" w:hint="eastAsia"/>
          <w:sz w:val="24"/>
        </w:rPr>
        <w:t>年</w:t>
      </w:r>
      <w:r>
        <w:rPr>
          <w:rFonts w:eastAsiaTheme="minorEastAsia"/>
          <w:sz w:val="24"/>
        </w:rPr>
        <w:t>4</w:t>
      </w:r>
      <w:r>
        <w:rPr>
          <w:rFonts w:eastAsiaTheme="minorEastAsia" w:hint="eastAsia"/>
          <w:sz w:val="24"/>
        </w:rPr>
        <w:t>月</w:t>
      </w:r>
      <w:r>
        <w:rPr>
          <w:rFonts w:eastAsiaTheme="minorEastAsia"/>
          <w:sz w:val="24"/>
        </w:rPr>
        <w:t>11</w:t>
      </w:r>
      <w:r>
        <w:rPr>
          <w:rFonts w:eastAsiaTheme="minorEastAsia" w:hint="eastAsia"/>
          <w:sz w:val="24"/>
        </w:rPr>
        <w:t>日，</w:t>
      </w:r>
      <w:r w:rsidR="00606CAF" w:rsidRPr="00A2570D">
        <w:rPr>
          <w:rFonts w:eastAsiaTheme="minorEastAsia" w:hint="eastAsia"/>
          <w:sz w:val="24"/>
        </w:rPr>
        <w:t>南方智能仓库技改项目</w:t>
      </w:r>
      <w:r w:rsidRPr="00A2570D">
        <w:rPr>
          <w:rFonts w:eastAsiaTheme="minorEastAsia" w:hint="eastAsia"/>
          <w:sz w:val="24"/>
        </w:rPr>
        <w:t>资金余额为</w:t>
      </w:r>
      <w:r w:rsidRPr="00A2570D">
        <w:rPr>
          <w:rFonts w:eastAsiaTheme="minorEastAsia"/>
          <w:sz w:val="24"/>
        </w:rPr>
        <w:t>6</w:t>
      </w:r>
      <w:r w:rsidRPr="00A2570D">
        <w:rPr>
          <w:rFonts w:eastAsiaTheme="minorEastAsia" w:hint="eastAsia"/>
          <w:sz w:val="24"/>
        </w:rPr>
        <w:t>,</w:t>
      </w:r>
      <w:r w:rsidRPr="00A2570D">
        <w:rPr>
          <w:rFonts w:eastAsiaTheme="minorEastAsia"/>
          <w:sz w:val="24"/>
        </w:rPr>
        <w:t>091.25</w:t>
      </w:r>
      <w:r w:rsidRPr="00A2570D">
        <w:rPr>
          <w:rFonts w:eastAsiaTheme="minorEastAsia" w:hint="eastAsia"/>
          <w:sz w:val="24"/>
        </w:rPr>
        <w:t>万元，</w:t>
      </w:r>
      <w:r w:rsidR="00384876">
        <w:rPr>
          <w:rFonts w:eastAsiaTheme="minorEastAsia" w:hint="eastAsia"/>
          <w:sz w:val="24"/>
        </w:rPr>
        <w:t>募集</w:t>
      </w:r>
      <w:r w:rsidRPr="00A2570D">
        <w:rPr>
          <w:rFonts w:eastAsiaTheme="minorEastAsia" w:hint="eastAsia"/>
          <w:sz w:val="24"/>
        </w:rPr>
        <w:t>资金投资进度为</w:t>
      </w:r>
      <w:r w:rsidRPr="00A2570D">
        <w:rPr>
          <w:rFonts w:eastAsiaTheme="minorEastAsia"/>
          <w:sz w:val="24"/>
        </w:rPr>
        <w:t>70.02</w:t>
      </w:r>
      <w:r w:rsidRPr="00A2570D">
        <w:rPr>
          <w:rFonts w:eastAsiaTheme="minorEastAsia" w:hint="eastAsia"/>
          <w:sz w:val="24"/>
        </w:rPr>
        <w:t>%</w:t>
      </w:r>
      <w:r w:rsidR="00606CAF">
        <w:rPr>
          <w:rFonts w:eastAsiaTheme="minorEastAsia" w:hint="eastAsia"/>
          <w:sz w:val="24"/>
        </w:rPr>
        <w:t>，整体实施进度情况良好</w:t>
      </w:r>
      <w:r w:rsidR="008F73EE">
        <w:rPr>
          <w:rFonts w:eastAsiaTheme="minorEastAsia" w:hint="eastAsia"/>
          <w:sz w:val="24"/>
        </w:rPr>
        <w:t>。</w:t>
      </w:r>
      <w:r w:rsidR="00606CAF">
        <w:rPr>
          <w:rFonts w:eastAsiaTheme="minorEastAsia" w:hint="eastAsia"/>
          <w:sz w:val="24"/>
        </w:rPr>
        <w:t>具体</w:t>
      </w:r>
      <w:r w:rsidR="00606CAF" w:rsidRPr="00A2570D">
        <w:rPr>
          <w:rFonts w:eastAsiaTheme="minorEastAsia" w:hint="eastAsia"/>
          <w:sz w:val="24"/>
        </w:rPr>
        <w:t>实施过程中</w:t>
      </w:r>
      <w:r w:rsidR="00606CAF">
        <w:rPr>
          <w:rFonts w:eastAsiaTheme="minorEastAsia" w:hint="eastAsia"/>
          <w:sz w:val="24"/>
        </w:rPr>
        <w:t>外部环境以及</w:t>
      </w:r>
      <w:r w:rsidR="00606CAF" w:rsidRPr="00A2570D">
        <w:rPr>
          <w:rFonts w:eastAsiaTheme="minorEastAsia" w:hint="eastAsia"/>
          <w:sz w:val="24"/>
        </w:rPr>
        <w:t>公司项目统筹规划</w:t>
      </w:r>
      <w:r w:rsidR="00606CAF">
        <w:rPr>
          <w:rFonts w:eastAsiaTheme="minorEastAsia" w:hint="eastAsia"/>
          <w:sz w:val="24"/>
        </w:rPr>
        <w:t>、下游需求变动等因素一定程度上</w:t>
      </w:r>
      <w:r w:rsidR="00606CAF" w:rsidRPr="00A2570D">
        <w:rPr>
          <w:rFonts w:eastAsiaTheme="minorEastAsia" w:hint="eastAsia"/>
          <w:sz w:val="24"/>
        </w:rPr>
        <w:t>影响了实施进度</w:t>
      </w:r>
      <w:r w:rsidR="00606CAF">
        <w:rPr>
          <w:rFonts w:eastAsiaTheme="minorEastAsia" w:hint="eastAsia"/>
          <w:sz w:val="24"/>
        </w:rPr>
        <w:t>，</w:t>
      </w:r>
      <w:r>
        <w:rPr>
          <w:rFonts w:eastAsiaTheme="minorEastAsia" w:hint="eastAsia"/>
          <w:sz w:val="24"/>
        </w:rPr>
        <w:t>结合</w:t>
      </w:r>
      <w:proofErr w:type="gramStart"/>
      <w:r>
        <w:rPr>
          <w:rFonts w:eastAsiaTheme="minorEastAsia" w:hint="eastAsia"/>
          <w:sz w:val="24"/>
        </w:rPr>
        <w:t>募投项目</w:t>
      </w:r>
      <w:proofErr w:type="gramEnd"/>
      <w:r>
        <w:rPr>
          <w:rFonts w:eastAsiaTheme="minorEastAsia" w:hint="eastAsia"/>
          <w:sz w:val="24"/>
        </w:rPr>
        <w:t>实施的实际情况，经公司审慎研究决定调整该项目的实施进度，将达到预定可使用状态的日期</w:t>
      </w:r>
      <w:r w:rsidR="008F73EE" w:rsidRPr="00384876">
        <w:rPr>
          <w:rFonts w:eastAsiaTheme="minorEastAsia" w:hint="eastAsia"/>
          <w:sz w:val="24"/>
        </w:rPr>
        <w:t>延期至</w:t>
      </w:r>
      <w:r w:rsidRPr="00384876">
        <w:rPr>
          <w:rFonts w:eastAsiaTheme="minorEastAsia" w:hint="eastAsia"/>
          <w:sz w:val="24"/>
        </w:rPr>
        <w:t>2</w:t>
      </w:r>
      <w:r w:rsidRPr="00384876">
        <w:rPr>
          <w:rFonts w:eastAsiaTheme="minorEastAsia"/>
          <w:sz w:val="24"/>
        </w:rPr>
        <w:t>02</w:t>
      </w:r>
      <w:r w:rsidRPr="00384876">
        <w:rPr>
          <w:rFonts w:eastAsiaTheme="minorEastAsia" w:hint="eastAsia"/>
          <w:sz w:val="24"/>
        </w:rPr>
        <w:t>4</w:t>
      </w:r>
      <w:r w:rsidRPr="00384876">
        <w:rPr>
          <w:rFonts w:eastAsiaTheme="minorEastAsia" w:hint="eastAsia"/>
          <w:sz w:val="24"/>
        </w:rPr>
        <w:t>年</w:t>
      </w:r>
      <w:r w:rsidR="00384876" w:rsidRPr="00384876">
        <w:rPr>
          <w:rFonts w:eastAsiaTheme="minorEastAsia"/>
          <w:sz w:val="24"/>
        </w:rPr>
        <w:t>12</w:t>
      </w:r>
      <w:r w:rsidRPr="00384876">
        <w:rPr>
          <w:rFonts w:eastAsiaTheme="minorEastAsia" w:hint="eastAsia"/>
          <w:sz w:val="24"/>
        </w:rPr>
        <w:t>月</w:t>
      </w:r>
      <w:r w:rsidR="00384876" w:rsidRPr="00384876">
        <w:rPr>
          <w:rFonts w:eastAsiaTheme="minorEastAsia"/>
          <w:sz w:val="24"/>
        </w:rPr>
        <w:t>31</w:t>
      </w:r>
      <w:r w:rsidRPr="00384876">
        <w:rPr>
          <w:rFonts w:eastAsiaTheme="minorEastAsia" w:hint="eastAsia"/>
          <w:sz w:val="24"/>
        </w:rPr>
        <w:t>日。</w:t>
      </w:r>
    </w:p>
    <w:p w14:paraId="74EAA45A" w14:textId="413C5D4D" w:rsidR="003C161B" w:rsidRDefault="001E1DEF">
      <w:pPr>
        <w:spacing w:beforeLines="50" w:before="156" w:afterLines="50" w:after="156" w:line="360" w:lineRule="auto"/>
        <w:ind w:firstLineChars="200" w:firstLine="482"/>
        <w:outlineLvl w:val="0"/>
        <w:rPr>
          <w:b/>
          <w:bCs/>
          <w:sz w:val="24"/>
        </w:rPr>
      </w:pPr>
      <w:r>
        <w:rPr>
          <w:rFonts w:hint="eastAsia"/>
          <w:b/>
          <w:bCs/>
          <w:sz w:val="24"/>
        </w:rPr>
        <w:t>四</w:t>
      </w:r>
      <w:r w:rsidR="00000000">
        <w:rPr>
          <w:rFonts w:hint="eastAsia"/>
          <w:b/>
          <w:bCs/>
          <w:sz w:val="24"/>
        </w:rPr>
        <w:t>、本次部分</w:t>
      </w:r>
      <w:proofErr w:type="gramStart"/>
      <w:r w:rsidR="00000000">
        <w:rPr>
          <w:rFonts w:hint="eastAsia"/>
          <w:b/>
          <w:bCs/>
          <w:sz w:val="24"/>
        </w:rPr>
        <w:t>募投项目</w:t>
      </w:r>
      <w:proofErr w:type="gramEnd"/>
      <w:r w:rsidR="00000000">
        <w:rPr>
          <w:rFonts w:hint="eastAsia"/>
          <w:b/>
          <w:bCs/>
          <w:sz w:val="24"/>
        </w:rPr>
        <w:t>进度调整对公司的影响</w:t>
      </w:r>
    </w:p>
    <w:p w14:paraId="68B004E8" w14:textId="77777777" w:rsidR="003C161B" w:rsidRDefault="00000000">
      <w:pPr>
        <w:spacing w:beforeLines="50" w:before="156" w:afterLines="50" w:after="156" w:line="360" w:lineRule="auto"/>
        <w:ind w:firstLineChars="200" w:firstLine="480"/>
        <w:rPr>
          <w:rFonts w:eastAsiaTheme="minorEastAsia"/>
          <w:sz w:val="24"/>
        </w:rPr>
      </w:pPr>
      <w:r>
        <w:rPr>
          <w:rFonts w:eastAsiaTheme="minorEastAsia" w:hint="eastAsia"/>
          <w:sz w:val="24"/>
        </w:rPr>
        <w:t>本次调整</w:t>
      </w:r>
      <w:proofErr w:type="gramStart"/>
      <w:r>
        <w:rPr>
          <w:rFonts w:eastAsiaTheme="minorEastAsia" w:hint="eastAsia"/>
          <w:sz w:val="24"/>
        </w:rPr>
        <w:t>募投项目</w:t>
      </w:r>
      <w:proofErr w:type="gramEnd"/>
      <w:r>
        <w:rPr>
          <w:rFonts w:eastAsiaTheme="minorEastAsia" w:hint="eastAsia"/>
          <w:sz w:val="24"/>
        </w:rPr>
        <w:t>实施进度是公司根据项目实施的实际情况做出的谨慎决定，仅涉及该项目达到预定可使用状态时间的调整，</w:t>
      </w:r>
      <w:proofErr w:type="gramStart"/>
      <w:r>
        <w:rPr>
          <w:rFonts w:eastAsiaTheme="minorEastAsia" w:hint="eastAsia"/>
          <w:sz w:val="24"/>
        </w:rPr>
        <w:t>募投项目</w:t>
      </w:r>
      <w:proofErr w:type="gramEnd"/>
      <w:r>
        <w:rPr>
          <w:rFonts w:eastAsiaTheme="minorEastAsia" w:hint="eastAsia"/>
          <w:sz w:val="24"/>
        </w:rPr>
        <w:t>实施主体、实施方式、募集资金投资用途及投资规模均未发生变更，项目实施的可行性未发生重大变化。公司将严格遵守《上市公司监管指引第</w:t>
      </w:r>
      <w:r>
        <w:rPr>
          <w:rFonts w:eastAsiaTheme="minorEastAsia"/>
          <w:sz w:val="24"/>
        </w:rPr>
        <w:t>2</w:t>
      </w:r>
      <w:r>
        <w:rPr>
          <w:rFonts w:eastAsiaTheme="minorEastAsia" w:hint="eastAsia"/>
          <w:sz w:val="24"/>
        </w:rPr>
        <w:t>号——上市公司募集资金管理和使用的监管要求》（以下简称“《上市公司募集资金管理和使用的监管要求》”）、《深圳证券交易所上市公司自律监管指引第</w:t>
      </w:r>
      <w:r>
        <w:rPr>
          <w:rFonts w:eastAsiaTheme="minorEastAsia"/>
          <w:sz w:val="24"/>
        </w:rPr>
        <w:t>2</w:t>
      </w:r>
      <w:r>
        <w:rPr>
          <w:rFonts w:eastAsiaTheme="minorEastAsia" w:hint="eastAsia"/>
          <w:sz w:val="24"/>
        </w:rPr>
        <w:t>号——创业板上市公司规范运作》（以下简称“《规范运作》”）、《深圳证券交易所创业板股票上市规则》（以下简称“《上</w:t>
      </w:r>
      <w:r>
        <w:rPr>
          <w:rFonts w:eastAsiaTheme="minorEastAsia" w:hint="eastAsia"/>
          <w:sz w:val="24"/>
        </w:rPr>
        <w:lastRenderedPageBreak/>
        <w:t>市规则》”）以及公司《募集资金管理办法》等相关规定。</w:t>
      </w:r>
      <w:proofErr w:type="gramStart"/>
      <w:r>
        <w:rPr>
          <w:rFonts w:eastAsiaTheme="minorEastAsia" w:hint="eastAsia"/>
          <w:sz w:val="24"/>
        </w:rPr>
        <w:t>募投项目</w:t>
      </w:r>
      <w:proofErr w:type="gramEnd"/>
      <w:r>
        <w:rPr>
          <w:rFonts w:eastAsiaTheme="minorEastAsia" w:hint="eastAsia"/>
          <w:sz w:val="24"/>
        </w:rPr>
        <w:t>延期后，不会对项目实施产生不利影响，不存在变相改变募集资金投向和损害股东利益的情形，公司将加强募集资金使用的内部与外部监督，确保募集资金使用的合法、有效。</w:t>
      </w:r>
    </w:p>
    <w:p w14:paraId="43B92DFE" w14:textId="6C2C9058" w:rsidR="003C161B" w:rsidRDefault="001E1DEF">
      <w:pPr>
        <w:spacing w:beforeLines="50" w:before="156" w:afterLines="50" w:after="156" w:line="360" w:lineRule="auto"/>
        <w:ind w:firstLineChars="200" w:firstLine="482"/>
        <w:outlineLvl w:val="0"/>
        <w:rPr>
          <w:b/>
          <w:bCs/>
          <w:sz w:val="24"/>
        </w:rPr>
      </w:pPr>
      <w:r>
        <w:rPr>
          <w:rFonts w:hint="eastAsia"/>
          <w:b/>
          <w:bCs/>
          <w:sz w:val="24"/>
        </w:rPr>
        <w:t>五</w:t>
      </w:r>
      <w:r w:rsidR="00000000">
        <w:rPr>
          <w:rFonts w:hint="eastAsia"/>
          <w:b/>
          <w:bCs/>
          <w:sz w:val="24"/>
        </w:rPr>
        <w:t>、履行的审批程序及相关意见</w:t>
      </w:r>
    </w:p>
    <w:p w14:paraId="322650D3" w14:textId="77777777" w:rsidR="003C161B" w:rsidRDefault="00000000">
      <w:pPr>
        <w:spacing w:beforeLines="50" w:before="156" w:afterLines="50" w:after="156" w:line="360" w:lineRule="auto"/>
        <w:ind w:firstLineChars="200" w:firstLine="482"/>
        <w:outlineLvl w:val="1"/>
        <w:rPr>
          <w:rFonts w:eastAsiaTheme="minorEastAsia"/>
          <w:b/>
          <w:bCs/>
          <w:sz w:val="24"/>
        </w:rPr>
      </w:pPr>
      <w:r>
        <w:rPr>
          <w:rFonts w:eastAsiaTheme="minorEastAsia" w:hint="eastAsia"/>
          <w:b/>
          <w:bCs/>
          <w:sz w:val="24"/>
        </w:rPr>
        <w:t>（一）董事会审议情况</w:t>
      </w:r>
    </w:p>
    <w:p w14:paraId="02F7898B" w14:textId="6F223CC1" w:rsidR="003C161B" w:rsidRDefault="00000000">
      <w:pPr>
        <w:spacing w:beforeLines="50" w:before="156" w:afterLines="50" w:after="156" w:line="360" w:lineRule="auto"/>
        <w:ind w:firstLineChars="200" w:firstLine="480"/>
        <w:rPr>
          <w:rFonts w:eastAsiaTheme="minorEastAsia"/>
          <w:sz w:val="24"/>
        </w:rPr>
      </w:pPr>
      <w:r>
        <w:rPr>
          <w:rFonts w:eastAsiaTheme="minorEastAsia" w:hint="eastAsia"/>
          <w:sz w:val="24"/>
        </w:rPr>
        <w:t>经审议，董事会认为：公司调整部分</w:t>
      </w:r>
      <w:proofErr w:type="gramStart"/>
      <w:r>
        <w:rPr>
          <w:rFonts w:eastAsiaTheme="minorEastAsia" w:hint="eastAsia"/>
          <w:sz w:val="24"/>
        </w:rPr>
        <w:t>募投项目</w:t>
      </w:r>
      <w:proofErr w:type="gramEnd"/>
      <w:r>
        <w:rPr>
          <w:rFonts w:eastAsiaTheme="minorEastAsia" w:hint="eastAsia"/>
          <w:sz w:val="24"/>
        </w:rPr>
        <w:t>实施进度，符合《上市公司募集资金管理和使用的监管要求》《规范运作》《上市规则》等法律法规、规范性文件及《公司章程》等规定，不会对</w:t>
      </w:r>
      <w:proofErr w:type="gramStart"/>
      <w:r>
        <w:rPr>
          <w:rFonts w:eastAsiaTheme="minorEastAsia" w:hint="eastAsia"/>
          <w:sz w:val="24"/>
        </w:rPr>
        <w:t>募投项目</w:t>
      </w:r>
      <w:proofErr w:type="gramEnd"/>
      <w:r>
        <w:rPr>
          <w:rFonts w:eastAsiaTheme="minorEastAsia" w:hint="eastAsia"/>
          <w:sz w:val="24"/>
        </w:rPr>
        <w:t>的实施产生实质性影响，不会对公司当前的生产经营造成重大影响，不存在变相改变募集资金投向和损害股东利益的情形。因此，董事会同意调整</w:t>
      </w:r>
      <w:r w:rsidR="006502F4" w:rsidRPr="00C9235C">
        <w:rPr>
          <w:rFonts w:eastAsiaTheme="minorEastAsia" w:hint="eastAsia"/>
          <w:sz w:val="24"/>
        </w:rPr>
        <w:t>南方智能仓库技改</w:t>
      </w:r>
      <w:proofErr w:type="gramStart"/>
      <w:r>
        <w:rPr>
          <w:rFonts w:eastAsiaTheme="minorEastAsia" w:hint="eastAsia"/>
          <w:sz w:val="24"/>
        </w:rPr>
        <w:t>募投项目</w:t>
      </w:r>
      <w:proofErr w:type="gramEnd"/>
      <w:r>
        <w:rPr>
          <w:rFonts w:eastAsiaTheme="minorEastAsia" w:hint="eastAsia"/>
          <w:sz w:val="24"/>
        </w:rPr>
        <w:t>实施进度。</w:t>
      </w:r>
    </w:p>
    <w:p w14:paraId="5DABCFE7" w14:textId="77777777" w:rsidR="003C161B" w:rsidRDefault="00000000">
      <w:pPr>
        <w:spacing w:beforeLines="50" w:before="156" w:afterLines="50" w:after="156" w:line="360" w:lineRule="auto"/>
        <w:ind w:firstLineChars="200" w:firstLine="482"/>
        <w:outlineLvl w:val="1"/>
        <w:rPr>
          <w:rFonts w:eastAsiaTheme="minorEastAsia"/>
          <w:sz w:val="24"/>
        </w:rPr>
      </w:pPr>
      <w:r>
        <w:rPr>
          <w:rFonts w:eastAsiaTheme="minorEastAsia" w:hint="eastAsia"/>
          <w:b/>
          <w:bCs/>
          <w:sz w:val="24"/>
        </w:rPr>
        <w:t>（三）监事会审议情况</w:t>
      </w:r>
    </w:p>
    <w:p w14:paraId="2353AF08" w14:textId="015A4657" w:rsidR="003C161B" w:rsidRDefault="00000000">
      <w:pPr>
        <w:spacing w:beforeLines="50" w:before="156" w:afterLines="50" w:after="156" w:line="360" w:lineRule="auto"/>
        <w:ind w:firstLineChars="200" w:firstLine="480"/>
        <w:rPr>
          <w:rFonts w:eastAsiaTheme="minorEastAsia"/>
          <w:sz w:val="24"/>
        </w:rPr>
      </w:pPr>
      <w:r>
        <w:rPr>
          <w:rFonts w:eastAsiaTheme="minorEastAsia" w:hint="eastAsia"/>
          <w:sz w:val="24"/>
        </w:rPr>
        <w:t>经审议，监事会认为：公司调整部分</w:t>
      </w:r>
      <w:proofErr w:type="gramStart"/>
      <w:r>
        <w:rPr>
          <w:rFonts w:eastAsiaTheme="minorEastAsia" w:hint="eastAsia"/>
          <w:sz w:val="24"/>
        </w:rPr>
        <w:t>募投项目</w:t>
      </w:r>
      <w:proofErr w:type="gramEnd"/>
      <w:r>
        <w:rPr>
          <w:rFonts w:eastAsiaTheme="minorEastAsia" w:hint="eastAsia"/>
          <w:sz w:val="24"/>
        </w:rPr>
        <w:t>实施进度，是基于项目实际情况需要做出的决策，有利于项目优化，符合公司业务发展及未来规划，不存在损害公司及全体股东利益的情形。审议程序符合《上市公司募集资金管理和使用的监管要求》《规范运作》《上市规则》等法律法规、规范性文件及《公司章程》等规定。因此，监事会</w:t>
      </w:r>
      <w:r w:rsidR="006502F4">
        <w:rPr>
          <w:rFonts w:eastAsiaTheme="minorEastAsia" w:hint="eastAsia"/>
          <w:sz w:val="24"/>
        </w:rPr>
        <w:t>同意调整</w:t>
      </w:r>
      <w:r w:rsidR="006502F4" w:rsidRPr="00C9235C">
        <w:rPr>
          <w:rFonts w:eastAsiaTheme="minorEastAsia" w:hint="eastAsia"/>
          <w:sz w:val="24"/>
        </w:rPr>
        <w:t>南方智能仓库技改</w:t>
      </w:r>
      <w:proofErr w:type="gramStart"/>
      <w:r w:rsidR="006502F4">
        <w:rPr>
          <w:rFonts w:eastAsiaTheme="minorEastAsia" w:hint="eastAsia"/>
          <w:sz w:val="24"/>
        </w:rPr>
        <w:t>募投项目</w:t>
      </w:r>
      <w:proofErr w:type="gramEnd"/>
      <w:r w:rsidR="006502F4">
        <w:rPr>
          <w:rFonts w:eastAsiaTheme="minorEastAsia" w:hint="eastAsia"/>
          <w:sz w:val="24"/>
        </w:rPr>
        <w:t>实施进度</w:t>
      </w:r>
      <w:r>
        <w:rPr>
          <w:rFonts w:eastAsiaTheme="minorEastAsia" w:hint="eastAsia"/>
          <w:sz w:val="24"/>
        </w:rPr>
        <w:t>。</w:t>
      </w:r>
    </w:p>
    <w:p w14:paraId="5C6E7EC7" w14:textId="4D065FE0" w:rsidR="003C161B" w:rsidRDefault="00000000">
      <w:pPr>
        <w:spacing w:beforeLines="50" w:before="156" w:afterLines="50" w:after="156" w:line="360" w:lineRule="auto"/>
        <w:ind w:firstLineChars="200" w:firstLine="482"/>
        <w:outlineLvl w:val="1"/>
        <w:rPr>
          <w:rFonts w:eastAsiaTheme="minorEastAsia"/>
          <w:b/>
          <w:bCs/>
          <w:sz w:val="24"/>
        </w:rPr>
      </w:pPr>
      <w:r>
        <w:rPr>
          <w:rFonts w:eastAsiaTheme="minorEastAsia" w:hint="eastAsia"/>
          <w:b/>
          <w:bCs/>
          <w:sz w:val="24"/>
        </w:rPr>
        <w:t>（</w:t>
      </w:r>
      <w:r w:rsidR="006502F4">
        <w:rPr>
          <w:rFonts w:eastAsiaTheme="minorEastAsia" w:hint="eastAsia"/>
          <w:b/>
          <w:bCs/>
          <w:sz w:val="24"/>
        </w:rPr>
        <w:t>三</w:t>
      </w:r>
      <w:r>
        <w:rPr>
          <w:rFonts w:eastAsiaTheme="minorEastAsia" w:hint="eastAsia"/>
          <w:b/>
          <w:bCs/>
          <w:sz w:val="24"/>
        </w:rPr>
        <w:t>）保荐机构意见</w:t>
      </w:r>
    </w:p>
    <w:p w14:paraId="16026CF7" w14:textId="37DDD586" w:rsidR="003C161B" w:rsidRDefault="00000000">
      <w:pPr>
        <w:spacing w:beforeLines="50" w:before="156" w:afterLines="50" w:after="156" w:line="360" w:lineRule="auto"/>
        <w:ind w:firstLineChars="200" w:firstLine="480"/>
        <w:rPr>
          <w:rFonts w:eastAsiaTheme="minorEastAsia"/>
          <w:sz w:val="24"/>
        </w:rPr>
      </w:pPr>
      <w:r>
        <w:rPr>
          <w:rFonts w:eastAsiaTheme="minorEastAsia" w:hint="eastAsia"/>
          <w:sz w:val="24"/>
        </w:rPr>
        <w:t>经核查，保荐机构认为：</w:t>
      </w:r>
      <w:proofErr w:type="gramStart"/>
      <w:r>
        <w:rPr>
          <w:rFonts w:eastAsiaTheme="minorEastAsia" w:hint="eastAsia"/>
          <w:sz w:val="24"/>
        </w:rPr>
        <w:t>海晨股份</w:t>
      </w:r>
      <w:proofErr w:type="gramEnd"/>
      <w:r>
        <w:rPr>
          <w:rFonts w:eastAsiaTheme="minorEastAsia" w:hint="eastAsia"/>
          <w:sz w:val="24"/>
        </w:rPr>
        <w:t>本次调整部分</w:t>
      </w:r>
      <w:proofErr w:type="gramStart"/>
      <w:r>
        <w:rPr>
          <w:rFonts w:eastAsiaTheme="minorEastAsia" w:hint="eastAsia"/>
          <w:sz w:val="24"/>
        </w:rPr>
        <w:t>募投项目</w:t>
      </w:r>
      <w:proofErr w:type="gramEnd"/>
      <w:r>
        <w:rPr>
          <w:rFonts w:eastAsiaTheme="minorEastAsia" w:hint="eastAsia"/>
          <w:sz w:val="24"/>
        </w:rPr>
        <w:t>实施进度已经公司董事会、监事会审议通过，履行了必要的审议程序，符合《上市公司募集资金管理和使用的监管要求》《规范运作》《股票上市规则》等相关法律法规的规定，不存在变相改变募集资金投向和损害股东利益的情形。因此，保荐机构对</w:t>
      </w:r>
      <w:proofErr w:type="gramStart"/>
      <w:r>
        <w:rPr>
          <w:rFonts w:eastAsiaTheme="minorEastAsia" w:hint="eastAsia"/>
          <w:sz w:val="24"/>
        </w:rPr>
        <w:t>海晨股份</w:t>
      </w:r>
      <w:proofErr w:type="gramEnd"/>
      <w:r>
        <w:rPr>
          <w:rFonts w:eastAsiaTheme="minorEastAsia" w:hint="eastAsia"/>
          <w:sz w:val="24"/>
        </w:rPr>
        <w:t>本次</w:t>
      </w:r>
      <w:r w:rsidR="006502F4">
        <w:rPr>
          <w:rFonts w:eastAsiaTheme="minorEastAsia" w:hint="eastAsia"/>
          <w:sz w:val="24"/>
        </w:rPr>
        <w:t>调整</w:t>
      </w:r>
      <w:r w:rsidR="006502F4" w:rsidRPr="00C9235C">
        <w:rPr>
          <w:rFonts w:eastAsiaTheme="minorEastAsia" w:hint="eastAsia"/>
          <w:sz w:val="24"/>
        </w:rPr>
        <w:t>南方智能仓库技改</w:t>
      </w:r>
      <w:proofErr w:type="gramStart"/>
      <w:r w:rsidR="006502F4">
        <w:rPr>
          <w:rFonts w:eastAsiaTheme="minorEastAsia" w:hint="eastAsia"/>
          <w:sz w:val="24"/>
        </w:rPr>
        <w:t>募投项目</w:t>
      </w:r>
      <w:proofErr w:type="gramEnd"/>
      <w:r w:rsidR="006502F4">
        <w:rPr>
          <w:rFonts w:eastAsiaTheme="minorEastAsia" w:hint="eastAsia"/>
          <w:sz w:val="24"/>
        </w:rPr>
        <w:t>实施进度</w:t>
      </w:r>
      <w:r>
        <w:rPr>
          <w:rFonts w:eastAsiaTheme="minorEastAsia" w:hint="eastAsia"/>
          <w:sz w:val="24"/>
        </w:rPr>
        <w:t>事项无异议。</w:t>
      </w:r>
    </w:p>
    <w:p w14:paraId="761AFCF2" w14:textId="77777777" w:rsidR="003C161B" w:rsidRDefault="00000000">
      <w:pPr>
        <w:spacing w:beforeLines="50" w:before="156" w:afterLines="50" w:after="156" w:line="360" w:lineRule="auto"/>
        <w:ind w:firstLineChars="200" w:firstLine="482"/>
        <w:outlineLvl w:val="0"/>
        <w:rPr>
          <w:b/>
          <w:bCs/>
          <w:sz w:val="24"/>
        </w:rPr>
      </w:pPr>
      <w:r>
        <w:rPr>
          <w:rFonts w:hint="eastAsia"/>
          <w:b/>
          <w:bCs/>
          <w:sz w:val="24"/>
        </w:rPr>
        <w:t>六、备查文件</w:t>
      </w:r>
    </w:p>
    <w:p w14:paraId="0466B91E" w14:textId="5455476D" w:rsidR="003C161B" w:rsidRDefault="00000000">
      <w:pPr>
        <w:spacing w:line="360" w:lineRule="auto"/>
        <w:ind w:firstLineChars="200" w:firstLine="480"/>
        <w:rPr>
          <w:rFonts w:eastAsiaTheme="minorEastAsia"/>
          <w:sz w:val="24"/>
        </w:rPr>
      </w:pPr>
      <w:r>
        <w:rPr>
          <w:rFonts w:eastAsiaTheme="minorEastAsia"/>
          <w:sz w:val="24"/>
        </w:rPr>
        <w:t>1</w:t>
      </w:r>
      <w:r>
        <w:rPr>
          <w:rFonts w:eastAsiaTheme="minorEastAsia" w:hint="eastAsia"/>
          <w:sz w:val="24"/>
        </w:rPr>
        <w:t>、江苏海晨物流股份有限公司第三届董事会第十</w:t>
      </w:r>
      <w:r w:rsidR="006502F4">
        <w:rPr>
          <w:rFonts w:eastAsiaTheme="minorEastAsia" w:hint="eastAsia"/>
          <w:sz w:val="24"/>
        </w:rPr>
        <w:t>五</w:t>
      </w:r>
      <w:r>
        <w:rPr>
          <w:rFonts w:eastAsiaTheme="minorEastAsia" w:hint="eastAsia"/>
          <w:sz w:val="24"/>
        </w:rPr>
        <w:t>次会议决议；</w:t>
      </w:r>
    </w:p>
    <w:p w14:paraId="73D86845" w14:textId="66A200F4" w:rsidR="003C161B" w:rsidRDefault="00000000">
      <w:pPr>
        <w:spacing w:line="360" w:lineRule="auto"/>
        <w:ind w:firstLineChars="200" w:firstLine="480"/>
        <w:rPr>
          <w:rFonts w:eastAsiaTheme="minorEastAsia"/>
          <w:sz w:val="24"/>
        </w:rPr>
      </w:pPr>
      <w:r>
        <w:rPr>
          <w:rFonts w:eastAsiaTheme="minorEastAsia"/>
          <w:sz w:val="24"/>
        </w:rPr>
        <w:t>2</w:t>
      </w:r>
      <w:r>
        <w:rPr>
          <w:rFonts w:eastAsiaTheme="minorEastAsia" w:hint="eastAsia"/>
          <w:sz w:val="24"/>
        </w:rPr>
        <w:t>、江苏海晨物流股份有限公司第三届监事会第十</w:t>
      </w:r>
      <w:r w:rsidR="006502F4">
        <w:rPr>
          <w:rFonts w:eastAsiaTheme="minorEastAsia" w:hint="eastAsia"/>
          <w:sz w:val="24"/>
        </w:rPr>
        <w:t>五</w:t>
      </w:r>
      <w:r>
        <w:rPr>
          <w:rFonts w:eastAsiaTheme="minorEastAsia" w:hint="eastAsia"/>
          <w:sz w:val="24"/>
        </w:rPr>
        <w:t>次会议决议；</w:t>
      </w:r>
    </w:p>
    <w:p w14:paraId="3AFC8E16" w14:textId="5CFE053D" w:rsidR="003C161B" w:rsidRDefault="00000000">
      <w:pPr>
        <w:spacing w:line="360" w:lineRule="auto"/>
        <w:ind w:firstLineChars="200" w:firstLine="480"/>
        <w:rPr>
          <w:rFonts w:eastAsiaTheme="minorEastAsia"/>
          <w:sz w:val="24"/>
        </w:rPr>
      </w:pPr>
      <w:r>
        <w:rPr>
          <w:rFonts w:eastAsiaTheme="minorEastAsia"/>
          <w:sz w:val="24"/>
        </w:rPr>
        <w:t>3</w:t>
      </w:r>
      <w:r>
        <w:rPr>
          <w:rFonts w:eastAsiaTheme="minorEastAsia" w:hint="eastAsia"/>
          <w:sz w:val="24"/>
        </w:rPr>
        <w:t>、东方证券承销保荐有限公司关于江苏海晨物流股份有限公司调整部分</w:t>
      </w:r>
      <w:proofErr w:type="gramStart"/>
      <w:r>
        <w:rPr>
          <w:rFonts w:eastAsiaTheme="minorEastAsia" w:hint="eastAsia"/>
          <w:sz w:val="24"/>
        </w:rPr>
        <w:t>募投</w:t>
      </w:r>
      <w:r>
        <w:rPr>
          <w:rFonts w:eastAsiaTheme="minorEastAsia" w:hint="eastAsia"/>
          <w:sz w:val="24"/>
        </w:rPr>
        <w:lastRenderedPageBreak/>
        <w:t>项目</w:t>
      </w:r>
      <w:proofErr w:type="gramEnd"/>
      <w:r>
        <w:rPr>
          <w:rFonts w:eastAsiaTheme="minorEastAsia" w:hint="eastAsia"/>
          <w:sz w:val="24"/>
        </w:rPr>
        <w:t>实施进度的核查意见。</w:t>
      </w:r>
    </w:p>
    <w:p w14:paraId="05E3C2A7" w14:textId="77777777" w:rsidR="003C161B" w:rsidRDefault="00000000">
      <w:pPr>
        <w:spacing w:line="360" w:lineRule="auto"/>
        <w:ind w:firstLineChars="200" w:firstLine="480"/>
        <w:rPr>
          <w:rFonts w:eastAsiaTheme="minorEastAsia"/>
          <w:sz w:val="24"/>
        </w:rPr>
      </w:pPr>
      <w:r>
        <w:rPr>
          <w:rFonts w:eastAsiaTheme="minorEastAsia" w:hint="eastAsia"/>
          <w:sz w:val="24"/>
        </w:rPr>
        <w:t>特此公告。</w:t>
      </w:r>
    </w:p>
    <w:p w14:paraId="0DAF4049" w14:textId="77777777" w:rsidR="003C161B" w:rsidRDefault="003C161B">
      <w:pPr>
        <w:spacing w:line="360" w:lineRule="auto"/>
        <w:ind w:firstLineChars="200" w:firstLine="482"/>
        <w:jc w:val="right"/>
        <w:rPr>
          <w:rFonts w:eastAsiaTheme="minorEastAsia"/>
          <w:b/>
          <w:bCs/>
          <w:sz w:val="24"/>
        </w:rPr>
      </w:pPr>
    </w:p>
    <w:p w14:paraId="1741EC2A" w14:textId="77777777" w:rsidR="003C161B" w:rsidRDefault="00000000">
      <w:pPr>
        <w:spacing w:line="360" w:lineRule="auto"/>
        <w:ind w:firstLineChars="200" w:firstLine="482"/>
        <w:jc w:val="right"/>
        <w:rPr>
          <w:rFonts w:eastAsiaTheme="minorEastAsia"/>
          <w:b/>
          <w:bCs/>
          <w:sz w:val="24"/>
        </w:rPr>
      </w:pPr>
      <w:r>
        <w:rPr>
          <w:rFonts w:eastAsiaTheme="minorEastAsia" w:hint="eastAsia"/>
          <w:b/>
          <w:bCs/>
          <w:sz w:val="24"/>
        </w:rPr>
        <w:t>江苏海晨物流股份有限公司</w:t>
      </w:r>
    </w:p>
    <w:p w14:paraId="570DD136" w14:textId="77777777" w:rsidR="003C161B" w:rsidRDefault="00000000">
      <w:pPr>
        <w:spacing w:line="360" w:lineRule="auto"/>
        <w:ind w:firstLineChars="200" w:firstLine="482"/>
        <w:jc w:val="right"/>
        <w:rPr>
          <w:rFonts w:eastAsiaTheme="minorEastAsia"/>
          <w:b/>
          <w:bCs/>
          <w:sz w:val="24"/>
        </w:rPr>
      </w:pPr>
      <w:r>
        <w:rPr>
          <w:rFonts w:eastAsiaTheme="minorEastAsia" w:hint="eastAsia"/>
          <w:b/>
          <w:bCs/>
          <w:sz w:val="24"/>
        </w:rPr>
        <w:t>董事会</w:t>
      </w:r>
    </w:p>
    <w:p w14:paraId="481FE92C" w14:textId="7D92723B" w:rsidR="003C161B" w:rsidRDefault="00000000">
      <w:pPr>
        <w:spacing w:line="360" w:lineRule="auto"/>
        <w:ind w:firstLineChars="200" w:firstLine="482"/>
        <w:jc w:val="right"/>
        <w:rPr>
          <w:rFonts w:eastAsiaTheme="minorEastAsia"/>
          <w:b/>
          <w:bCs/>
          <w:sz w:val="24"/>
        </w:rPr>
      </w:pPr>
      <w:r>
        <w:rPr>
          <w:rFonts w:eastAsiaTheme="minorEastAsia" w:hint="eastAsia"/>
          <w:b/>
          <w:bCs/>
          <w:sz w:val="24"/>
        </w:rPr>
        <w:t>202</w:t>
      </w:r>
      <w:r w:rsidR="006502F4">
        <w:rPr>
          <w:rFonts w:eastAsiaTheme="minorEastAsia"/>
          <w:b/>
          <w:bCs/>
          <w:sz w:val="24"/>
        </w:rPr>
        <w:t>4</w:t>
      </w:r>
      <w:r>
        <w:rPr>
          <w:rFonts w:eastAsiaTheme="minorEastAsia" w:hint="eastAsia"/>
          <w:b/>
          <w:bCs/>
          <w:sz w:val="24"/>
        </w:rPr>
        <w:t>年</w:t>
      </w:r>
      <w:r w:rsidR="006502F4">
        <w:rPr>
          <w:rFonts w:eastAsiaTheme="minorEastAsia"/>
          <w:b/>
          <w:bCs/>
          <w:sz w:val="24"/>
        </w:rPr>
        <w:t>4</w:t>
      </w:r>
      <w:r>
        <w:rPr>
          <w:rFonts w:eastAsiaTheme="minorEastAsia" w:hint="eastAsia"/>
          <w:b/>
          <w:bCs/>
          <w:sz w:val="24"/>
        </w:rPr>
        <w:t>月</w:t>
      </w:r>
      <w:r w:rsidR="006502F4">
        <w:rPr>
          <w:rFonts w:eastAsiaTheme="minorEastAsia"/>
          <w:b/>
          <w:bCs/>
          <w:sz w:val="24"/>
        </w:rPr>
        <w:t>22</w:t>
      </w:r>
      <w:r>
        <w:rPr>
          <w:rFonts w:eastAsiaTheme="minorEastAsia" w:hint="eastAsia"/>
          <w:b/>
          <w:bCs/>
          <w:sz w:val="24"/>
        </w:rPr>
        <w:t>日</w:t>
      </w:r>
    </w:p>
    <w:sectPr w:rsidR="003C161B">
      <w:headerReference w:type="default" r:id="rId6"/>
      <w:footerReference w:type="default" r:id="rId7"/>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8B48" w14:textId="77777777" w:rsidR="00EA7077" w:rsidRDefault="00EA7077">
      <w:r>
        <w:separator/>
      </w:r>
    </w:p>
  </w:endnote>
  <w:endnote w:type="continuationSeparator" w:id="0">
    <w:p w14:paraId="70E3F360" w14:textId="77777777" w:rsidR="00EA7077" w:rsidRDefault="00EA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51200"/>
    </w:sdtPr>
    <w:sdtContent>
      <w:p w14:paraId="18DEF88C" w14:textId="77777777" w:rsidR="003C161B" w:rsidRDefault="00000000">
        <w:pPr>
          <w:pStyle w:val="a3"/>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956C" w14:textId="77777777" w:rsidR="00EA7077" w:rsidRDefault="00EA7077">
      <w:r>
        <w:separator/>
      </w:r>
    </w:p>
  </w:footnote>
  <w:footnote w:type="continuationSeparator" w:id="0">
    <w:p w14:paraId="56ACD4C7" w14:textId="77777777" w:rsidR="00EA7077" w:rsidRDefault="00EA7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0F72" w14:textId="77777777" w:rsidR="003C161B" w:rsidRDefault="003C161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k3ZGFhMzBkZTM5OTRjMmU4YmRkOTYxZmY5OWFkODMifQ=="/>
  </w:docVars>
  <w:rsids>
    <w:rsidRoot w:val="00172A27"/>
    <w:rsid w:val="00012C17"/>
    <w:rsid w:val="00021A4F"/>
    <w:rsid w:val="000261CD"/>
    <w:rsid w:val="000845DF"/>
    <w:rsid w:val="00093F01"/>
    <w:rsid w:val="000A60F1"/>
    <w:rsid w:val="000C4CB8"/>
    <w:rsid w:val="000C59BE"/>
    <w:rsid w:val="000D20A1"/>
    <w:rsid w:val="000E0168"/>
    <w:rsid w:val="000E76E7"/>
    <w:rsid w:val="00102133"/>
    <w:rsid w:val="001070A5"/>
    <w:rsid w:val="001179E6"/>
    <w:rsid w:val="0012045E"/>
    <w:rsid w:val="00131ED7"/>
    <w:rsid w:val="0015688F"/>
    <w:rsid w:val="00172A27"/>
    <w:rsid w:val="001B0CFC"/>
    <w:rsid w:val="001B1A99"/>
    <w:rsid w:val="001D3243"/>
    <w:rsid w:val="001E1DEF"/>
    <w:rsid w:val="001E78C4"/>
    <w:rsid w:val="0021434A"/>
    <w:rsid w:val="002425EA"/>
    <w:rsid w:val="002739B8"/>
    <w:rsid w:val="002A4CFC"/>
    <w:rsid w:val="002A7641"/>
    <w:rsid w:val="002B3D9A"/>
    <w:rsid w:val="002C2E45"/>
    <w:rsid w:val="002E3F95"/>
    <w:rsid w:val="00324E77"/>
    <w:rsid w:val="00384876"/>
    <w:rsid w:val="0039233E"/>
    <w:rsid w:val="003A2B5A"/>
    <w:rsid w:val="003B6FB3"/>
    <w:rsid w:val="003C03B6"/>
    <w:rsid w:val="003C161B"/>
    <w:rsid w:val="003C64CC"/>
    <w:rsid w:val="003D08D7"/>
    <w:rsid w:val="003D79A5"/>
    <w:rsid w:val="003E755B"/>
    <w:rsid w:val="003F5FBC"/>
    <w:rsid w:val="004037EA"/>
    <w:rsid w:val="00423058"/>
    <w:rsid w:val="00423F1C"/>
    <w:rsid w:val="00427D9D"/>
    <w:rsid w:val="00487638"/>
    <w:rsid w:val="004B0EAD"/>
    <w:rsid w:val="004C583D"/>
    <w:rsid w:val="004D64FB"/>
    <w:rsid w:val="00512565"/>
    <w:rsid w:val="0052265D"/>
    <w:rsid w:val="0052395E"/>
    <w:rsid w:val="0053664E"/>
    <w:rsid w:val="005627FD"/>
    <w:rsid w:val="005763AE"/>
    <w:rsid w:val="00597144"/>
    <w:rsid w:val="005A1278"/>
    <w:rsid w:val="005B4F8D"/>
    <w:rsid w:val="005D3824"/>
    <w:rsid w:val="005D4A91"/>
    <w:rsid w:val="005D7DD1"/>
    <w:rsid w:val="00606CAF"/>
    <w:rsid w:val="0062436C"/>
    <w:rsid w:val="0064674D"/>
    <w:rsid w:val="006502F4"/>
    <w:rsid w:val="00672681"/>
    <w:rsid w:val="00681C0E"/>
    <w:rsid w:val="006869BC"/>
    <w:rsid w:val="006D4F57"/>
    <w:rsid w:val="0070517B"/>
    <w:rsid w:val="00706287"/>
    <w:rsid w:val="0071149D"/>
    <w:rsid w:val="00712804"/>
    <w:rsid w:val="007211F3"/>
    <w:rsid w:val="007306D3"/>
    <w:rsid w:val="00736EE7"/>
    <w:rsid w:val="00746E90"/>
    <w:rsid w:val="007559EB"/>
    <w:rsid w:val="0077427F"/>
    <w:rsid w:val="00785102"/>
    <w:rsid w:val="007C637A"/>
    <w:rsid w:val="007D6145"/>
    <w:rsid w:val="007D6C3D"/>
    <w:rsid w:val="007E0908"/>
    <w:rsid w:val="007E1987"/>
    <w:rsid w:val="007F0EC8"/>
    <w:rsid w:val="00801D9A"/>
    <w:rsid w:val="00815491"/>
    <w:rsid w:val="00816763"/>
    <w:rsid w:val="00847CB8"/>
    <w:rsid w:val="0085518B"/>
    <w:rsid w:val="00883153"/>
    <w:rsid w:val="008876E1"/>
    <w:rsid w:val="008B3132"/>
    <w:rsid w:val="008E4CF9"/>
    <w:rsid w:val="008F32F5"/>
    <w:rsid w:val="008F73EE"/>
    <w:rsid w:val="00910344"/>
    <w:rsid w:val="00914FEE"/>
    <w:rsid w:val="0092627D"/>
    <w:rsid w:val="00960BC3"/>
    <w:rsid w:val="00972321"/>
    <w:rsid w:val="009841A2"/>
    <w:rsid w:val="009A0848"/>
    <w:rsid w:val="009A3119"/>
    <w:rsid w:val="009C7A99"/>
    <w:rsid w:val="009E73EC"/>
    <w:rsid w:val="00A1418D"/>
    <w:rsid w:val="00A161D5"/>
    <w:rsid w:val="00A2570D"/>
    <w:rsid w:val="00A26422"/>
    <w:rsid w:val="00A468CE"/>
    <w:rsid w:val="00A81873"/>
    <w:rsid w:val="00A856C7"/>
    <w:rsid w:val="00A8780B"/>
    <w:rsid w:val="00A9130F"/>
    <w:rsid w:val="00AA0BC3"/>
    <w:rsid w:val="00AC28C8"/>
    <w:rsid w:val="00AC4995"/>
    <w:rsid w:val="00AC5A8A"/>
    <w:rsid w:val="00AD203A"/>
    <w:rsid w:val="00AD79CC"/>
    <w:rsid w:val="00AE3EAA"/>
    <w:rsid w:val="00AE7C9E"/>
    <w:rsid w:val="00AF4AD5"/>
    <w:rsid w:val="00AF7D84"/>
    <w:rsid w:val="00B1777E"/>
    <w:rsid w:val="00B20015"/>
    <w:rsid w:val="00B3543F"/>
    <w:rsid w:val="00B37D30"/>
    <w:rsid w:val="00B81646"/>
    <w:rsid w:val="00BA0D96"/>
    <w:rsid w:val="00BB5322"/>
    <w:rsid w:val="00BD79FA"/>
    <w:rsid w:val="00BF28D3"/>
    <w:rsid w:val="00C03578"/>
    <w:rsid w:val="00C03B9E"/>
    <w:rsid w:val="00C250F3"/>
    <w:rsid w:val="00C512D2"/>
    <w:rsid w:val="00C530D7"/>
    <w:rsid w:val="00C5397F"/>
    <w:rsid w:val="00C56990"/>
    <w:rsid w:val="00C8750F"/>
    <w:rsid w:val="00C9235C"/>
    <w:rsid w:val="00C93AED"/>
    <w:rsid w:val="00CB4311"/>
    <w:rsid w:val="00CB46DC"/>
    <w:rsid w:val="00CB6D85"/>
    <w:rsid w:val="00CF5B59"/>
    <w:rsid w:val="00D152A5"/>
    <w:rsid w:val="00D262D3"/>
    <w:rsid w:val="00D379BD"/>
    <w:rsid w:val="00D46282"/>
    <w:rsid w:val="00D47AED"/>
    <w:rsid w:val="00D62EE2"/>
    <w:rsid w:val="00D63971"/>
    <w:rsid w:val="00D71695"/>
    <w:rsid w:val="00D87D4D"/>
    <w:rsid w:val="00D97657"/>
    <w:rsid w:val="00DB0AEF"/>
    <w:rsid w:val="00DB28CB"/>
    <w:rsid w:val="00DB4700"/>
    <w:rsid w:val="00DC0025"/>
    <w:rsid w:val="00DE50DE"/>
    <w:rsid w:val="00DE68F2"/>
    <w:rsid w:val="00E31EA4"/>
    <w:rsid w:val="00E365AF"/>
    <w:rsid w:val="00E41965"/>
    <w:rsid w:val="00E67C1F"/>
    <w:rsid w:val="00E721A1"/>
    <w:rsid w:val="00E771AB"/>
    <w:rsid w:val="00E77624"/>
    <w:rsid w:val="00E8192F"/>
    <w:rsid w:val="00E97432"/>
    <w:rsid w:val="00EA650B"/>
    <w:rsid w:val="00EA7077"/>
    <w:rsid w:val="00EC383A"/>
    <w:rsid w:val="00F019DA"/>
    <w:rsid w:val="00F228D6"/>
    <w:rsid w:val="00F25B88"/>
    <w:rsid w:val="00F60744"/>
    <w:rsid w:val="00F93E85"/>
    <w:rsid w:val="00FB0C03"/>
    <w:rsid w:val="00FB35C5"/>
    <w:rsid w:val="00FC5F9A"/>
    <w:rsid w:val="00FD28F9"/>
    <w:rsid w:val="00FE0CF8"/>
    <w:rsid w:val="02897931"/>
    <w:rsid w:val="055A55B4"/>
    <w:rsid w:val="10C214CF"/>
    <w:rsid w:val="11CC15E8"/>
    <w:rsid w:val="14B811E1"/>
    <w:rsid w:val="218D48F0"/>
    <w:rsid w:val="26282E39"/>
    <w:rsid w:val="2E1B3283"/>
    <w:rsid w:val="30682179"/>
    <w:rsid w:val="36465D09"/>
    <w:rsid w:val="46325C79"/>
    <w:rsid w:val="4726426B"/>
    <w:rsid w:val="49ED72FA"/>
    <w:rsid w:val="4CEF5BAF"/>
    <w:rsid w:val="4DC82688"/>
    <w:rsid w:val="4F3A0F52"/>
    <w:rsid w:val="51B64EEE"/>
    <w:rsid w:val="539917A2"/>
    <w:rsid w:val="573C40E7"/>
    <w:rsid w:val="58AE2DC2"/>
    <w:rsid w:val="5AC42429"/>
    <w:rsid w:val="5F8577C8"/>
    <w:rsid w:val="6BAF60F7"/>
    <w:rsid w:val="6CF748E0"/>
    <w:rsid w:val="6F7044D6"/>
    <w:rsid w:val="73FB423D"/>
    <w:rsid w:val="75F429D6"/>
    <w:rsid w:val="76607052"/>
    <w:rsid w:val="77A86F03"/>
    <w:rsid w:val="7964486B"/>
    <w:rsid w:val="79C63E43"/>
    <w:rsid w:val="7FE4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D038"/>
  <w15:docId w15:val="{7A4FCD90-F3C3-41E5-B759-34E297F5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pPr>
      <w:keepNext/>
      <w:keepLines/>
      <w:spacing w:before="240" w:after="240" w:line="360" w:lineRule="auto"/>
      <w:ind w:firstLineChars="200" w:firstLine="200"/>
      <w:outlineLvl w:val="1"/>
    </w:pPr>
    <w:rPr>
      <w:b/>
      <w:bCs/>
      <w:sz w:val="24"/>
      <w:szCs w:val="32"/>
    </w:rPr>
  </w:style>
  <w:style w:type="paragraph" w:styleId="3">
    <w:name w:val="heading 3"/>
    <w:basedOn w:val="a"/>
    <w:next w:val="a"/>
    <w:link w:val="30"/>
    <w:uiPriority w:val="9"/>
    <w:unhideWhenUsed/>
    <w:qFormat/>
    <w:pPr>
      <w:keepNext/>
      <w:keepLines/>
      <w:spacing w:before="240" w:after="240" w:line="360" w:lineRule="auto"/>
      <w:ind w:firstLineChars="200" w:firstLine="200"/>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spacing w:line="48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qFormat/>
    <w:rPr>
      <w:rFonts w:ascii="Times New Roman" w:eastAsia="宋体" w:hAnsi="Times New Roman" w:cs="Times New Roman"/>
      <w:sz w:val="18"/>
      <w:szCs w:val="18"/>
    </w:rPr>
  </w:style>
  <w:style w:type="paragraph" w:styleId="a8">
    <w:name w:val="List Paragraph"/>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4">
    <w:name w:val="页脚 字符"/>
    <w:basedOn w:val="a0"/>
    <w:link w:val="a3"/>
    <w:uiPriority w:val="99"/>
    <w:qFormat/>
    <w:rPr>
      <w:rFonts w:ascii="Times New Roman" w:eastAsia="宋体" w:hAnsi="Times New Roman" w:cs="Times New Roman"/>
      <w:sz w:val="18"/>
      <w:szCs w:val="18"/>
    </w:rPr>
  </w:style>
  <w:style w:type="character" w:customStyle="1" w:styleId="20">
    <w:name w:val="标题 2 字符"/>
    <w:basedOn w:val="a0"/>
    <w:link w:val="2"/>
    <w:uiPriority w:val="9"/>
    <w:qFormat/>
    <w:rPr>
      <w:rFonts w:ascii="Times New Roman" w:eastAsia="宋体" w:hAnsi="Times New Roman" w:cs="Times New Roman"/>
      <w:b/>
      <w:bCs/>
      <w:sz w:val="24"/>
      <w:szCs w:val="32"/>
    </w:rPr>
  </w:style>
  <w:style w:type="character" w:customStyle="1" w:styleId="30">
    <w:name w:val="标题 3 字符"/>
    <w:basedOn w:val="a0"/>
    <w:link w:val="3"/>
    <w:uiPriority w:val="9"/>
    <w:qFormat/>
    <w:rPr>
      <w:rFonts w:ascii="Times New Roman" w:eastAsia="宋体" w:hAnsi="Times New Roman" w:cs="Times New Roman"/>
      <w:b/>
      <w:bCs/>
      <w:sz w:val="24"/>
      <w:szCs w:val="32"/>
    </w:rPr>
  </w:style>
  <w:style w:type="paragraph" w:customStyle="1" w:styleId="1">
    <w:name w:val="修订1"/>
    <w:hidden/>
    <w:uiPriority w:val="99"/>
    <w:unhideWhenUsed/>
    <w:qFormat/>
    <w:rPr>
      <w:kern w:val="2"/>
      <w:sz w:val="21"/>
      <w:szCs w:val="24"/>
    </w:rPr>
  </w:style>
  <w:style w:type="paragraph" w:customStyle="1" w:styleId="21">
    <w:name w:val="修订2"/>
    <w:hidden/>
    <w:uiPriority w:val="99"/>
    <w:unhideWhenUsed/>
    <w:qFormat/>
    <w:rPr>
      <w:kern w:val="2"/>
      <w:sz w:val="21"/>
      <w:szCs w:val="24"/>
    </w:rPr>
  </w:style>
  <w:style w:type="paragraph" w:styleId="a9">
    <w:name w:val="Revision"/>
    <w:hidden/>
    <w:uiPriority w:val="99"/>
    <w:unhideWhenUsed/>
    <w:rsid w:val="00606C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380</Words>
  <Characters>2166</Characters>
  <Application>Microsoft Office Word</Application>
  <DocSecurity>0</DocSecurity>
  <Lines>18</Lines>
  <Paragraphs>5</Paragraphs>
  <ScaleCrop>false</ScaleCrop>
  <Company>TZ Workstation</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Zenghao</dc:creator>
  <cp:lastModifiedBy>leanne</cp:lastModifiedBy>
  <cp:revision>8</cp:revision>
  <dcterms:created xsi:type="dcterms:W3CDTF">2024-04-12T01:51:00Z</dcterms:created>
  <dcterms:modified xsi:type="dcterms:W3CDTF">2024-04-18T11:35:00Z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EEC07EADE4A24A199C3FE3ED39AFD3E0_12</vt:lpwstr>
  </property>
</Properties>
</file>